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142D" w:rsidRPr="0050142D" w:rsidRDefault="00505BC6" w:rsidP="003A3A9F">
      <w:pPr>
        <w:tabs>
          <w:tab w:val="left" w:pos="-2268"/>
        </w:tabs>
        <w:spacing w:line="360" w:lineRule="auto"/>
        <w:ind w:left="0"/>
        <w:jc w:val="center"/>
        <w:outlineLvl w:val="0"/>
        <w:rPr>
          <w:rFonts w:cs="Arial"/>
          <w:b/>
        </w:rPr>
      </w:pPr>
      <w:r w:rsidRPr="004D50CF">
        <w:rPr>
          <w:rFonts w:cs="Arial"/>
          <w:b/>
        </w:rPr>
        <w:t>A</w:t>
      </w:r>
      <w:r w:rsidR="003A3A9F" w:rsidRPr="004D50CF">
        <w:rPr>
          <w:rFonts w:cs="Arial"/>
          <w:b/>
        </w:rPr>
        <w:t>nexo I</w:t>
      </w:r>
      <w:r w:rsidR="003A3A9F" w:rsidRPr="0050142D">
        <w:rPr>
          <w:rFonts w:cs="Arial"/>
          <w:b/>
        </w:rPr>
        <w:t xml:space="preserve"> </w:t>
      </w:r>
    </w:p>
    <w:p w:rsidR="003A3A9F" w:rsidRDefault="00A337BD" w:rsidP="00257D67">
      <w:pPr>
        <w:tabs>
          <w:tab w:val="left" w:pos="-2268"/>
        </w:tabs>
        <w:spacing w:line="360" w:lineRule="auto"/>
        <w:ind w:left="0"/>
        <w:jc w:val="center"/>
        <w:outlineLvl w:val="0"/>
        <w:rPr>
          <w:rFonts w:eastAsia="Calibri" w:cs="Arial"/>
          <w:bCs/>
          <w:spacing w:val="0"/>
          <w:szCs w:val="22"/>
        </w:rPr>
      </w:pPr>
      <w:r>
        <w:rPr>
          <w:rFonts w:cs="Arial"/>
          <w:u w:val="single"/>
        </w:rPr>
        <w:t>Requisitos d</w:t>
      </w:r>
      <w:r w:rsidR="00486645">
        <w:rPr>
          <w:rFonts w:cs="Arial"/>
          <w:u w:val="single"/>
        </w:rPr>
        <w:t>as</w:t>
      </w:r>
      <w:r>
        <w:rPr>
          <w:rFonts w:cs="Arial"/>
          <w:u w:val="single"/>
        </w:rPr>
        <w:t xml:space="preserve"> medidas</w:t>
      </w:r>
      <w:r w:rsidR="00257D67" w:rsidRPr="00257D67">
        <w:rPr>
          <w:rFonts w:cs="Arial"/>
          <w:u w:val="single"/>
        </w:rPr>
        <w:t xml:space="preserve"> </w:t>
      </w:r>
      <w:r w:rsidR="008678F6">
        <w:rPr>
          <w:rFonts w:cs="Arial"/>
          <w:u w:val="single"/>
        </w:rPr>
        <w:t>e Despesas Elegíveis em</w:t>
      </w:r>
      <w:r w:rsidR="00257D67" w:rsidRPr="00257D67">
        <w:rPr>
          <w:rFonts w:cs="Arial"/>
          <w:u w:val="single"/>
        </w:rPr>
        <w:t xml:space="preserve"> Eficiência Energética e Energias Renováveis, por tipologia de operação</w:t>
      </w:r>
    </w:p>
    <w:tbl>
      <w:tblPr>
        <w:tblStyle w:val="Tabelacomgrelha2"/>
        <w:tblW w:w="14170" w:type="dxa"/>
        <w:jc w:val="center"/>
        <w:tblLayout w:type="fixed"/>
        <w:tblLook w:val="04A0"/>
      </w:tblPr>
      <w:tblGrid>
        <w:gridCol w:w="5382"/>
        <w:gridCol w:w="8788"/>
      </w:tblGrid>
      <w:tr w:rsidR="00873E92" w:rsidRPr="00873E92" w:rsidTr="00A05769">
        <w:trPr>
          <w:trHeight w:val="20"/>
          <w:jc w:val="center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873E92" w:rsidRPr="00873E92" w:rsidRDefault="00323A05" w:rsidP="00323A05">
            <w:pPr>
              <w:spacing w:before="60" w:after="60"/>
              <w:ind w:left="0"/>
              <w:jc w:val="center"/>
              <w:rPr>
                <w:rFonts w:eastAsia="Calibri" w:cs="Arial"/>
                <w:b/>
                <w:spacing w:val="0"/>
                <w:szCs w:val="18"/>
                <w:lang w:val="pt-PT"/>
              </w:rPr>
            </w:pPr>
            <w:r>
              <w:rPr>
                <w:rFonts w:eastAsia="Calibri" w:cs="Arial"/>
                <w:b/>
                <w:spacing w:val="0"/>
                <w:szCs w:val="18"/>
                <w:lang w:val="pt-PT"/>
              </w:rPr>
              <w:t>Requisitos das m</w:t>
            </w:r>
            <w:r w:rsidR="00873E92" w:rsidRPr="00873E92">
              <w:rPr>
                <w:rFonts w:eastAsia="Calibri" w:cs="Arial"/>
                <w:b/>
                <w:spacing w:val="0"/>
                <w:szCs w:val="18"/>
                <w:lang w:val="pt-PT"/>
              </w:rPr>
              <w:t>edidas</w:t>
            </w:r>
          </w:p>
        </w:tc>
        <w:tc>
          <w:tcPr>
            <w:tcW w:w="87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873E92" w:rsidRPr="00873E92" w:rsidRDefault="00ED6D52" w:rsidP="00257D67">
            <w:pPr>
              <w:spacing w:before="60" w:after="60"/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  <w:lang w:val="pt-PT"/>
              </w:rPr>
            </w:pPr>
            <w:r>
              <w:rPr>
                <w:rFonts w:eastAsia="Calibri" w:cs="Arial"/>
                <w:b/>
                <w:spacing w:val="0"/>
                <w:sz w:val="18"/>
                <w:szCs w:val="18"/>
                <w:lang w:val="pt-PT"/>
              </w:rPr>
              <w:t xml:space="preserve">Despesas </w:t>
            </w:r>
            <w:r w:rsidR="00C536FF">
              <w:rPr>
                <w:rFonts w:eastAsia="Calibri" w:cs="Arial"/>
                <w:b/>
                <w:spacing w:val="0"/>
                <w:sz w:val="18"/>
                <w:szCs w:val="18"/>
                <w:lang w:val="pt-PT"/>
              </w:rPr>
              <w:t>Elegíveis</w:t>
            </w:r>
          </w:p>
        </w:tc>
      </w:tr>
      <w:tr w:rsidR="00873E92" w:rsidRPr="00873E92" w:rsidTr="00A05769">
        <w:trPr>
          <w:trHeight w:val="20"/>
          <w:jc w:val="center"/>
        </w:trPr>
        <w:tc>
          <w:tcPr>
            <w:tcW w:w="1417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873E92" w:rsidRPr="00873E92" w:rsidRDefault="00873E92" w:rsidP="00873E92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873E92">
              <w:rPr>
                <w:rFonts w:cs="Arial"/>
                <w:b/>
                <w:sz w:val="18"/>
                <w:szCs w:val="18"/>
                <w:lang w:val="pt-PT"/>
              </w:rPr>
              <w:t xml:space="preserve">a) Intervenções que visem o aumento da eficiência energética dos edifícios e equipamentos públicos da administração </w:t>
            </w:r>
            <w:r w:rsidR="00723212">
              <w:rPr>
                <w:rFonts w:cs="Arial"/>
                <w:b/>
                <w:sz w:val="18"/>
                <w:szCs w:val="18"/>
                <w:lang w:val="pt-PT"/>
              </w:rPr>
              <w:t>local</w:t>
            </w:r>
          </w:p>
          <w:p w:rsidR="00873E92" w:rsidRPr="00873E92" w:rsidRDefault="00873E92" w:rsidP="00873E92">
            <w:pPr>
              <w:ind w:left="0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(tipologia de o</w:t>
            </w:r>
            <w:r w:rsidRPr="00873E92">
              <w:rPr>
                <w:rFonts w:cs="Arial"/>
                <w:sz w:val="18"/>
                <w:szCs w:val="18"/>
                <w:lang w:val="pt-PT"/>
              </w:rPr>
              <w:t>peração</w:t>
            </w:r>
            <w:r>
              <w:rPr>
                <w:rFonts w:cs="Arial"/>
                <w:sz w:val="18"/>
                <w:szCs w:val="18"/>
                <w:lang w:val="pt-PT"/>
              </w:rPr>
              <w:t>: alínea a) do ponto 2.1 do Aviso)</w:t>
            </w:r>
          </w:p>
        </w:tc>
      </w:tr>
      <w:tr w:rsidR="00EE286B" w:rsidRPr="00873E92" w:rsidTr="00A05769">
        <w:trPr>
          <w:trHeight w:val="20"/>
          <w:jc w:val="center"/>
        </w:trPr>
        <w:tc>
          <w:tcPr>
            <w:tcW w:w="5382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E286B" w:rsidRPr="001D1D46" w:rsidRDefault="00C575D7" w:rsidP="00632E6F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282C41">
              <w:rPr>
                <w:rFonts w:cs="Arial"/>
                <w:b/>
                <w:sz w:val="18"/>
                <w:szCs w:val="18"/>
                <w:lang w:val="pt-PT"/>
              </w:rPr>
              <w:t>i)</w:t>
            </w:r>
            <w:r w:rsidRPr="001D1D46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="00EE286B" w:rsidRPr="001D1D46">
              <w:rPr>
                <w:rFonts w:cs="Arial"/>
                <w:sz w:val="18"/>
                <w:szCs w:val="18"/>
                <w:lang w:val="pt-PT"/>
              </w:rPr>
              <w:t>Intervenções na envolvente opaca dos edifícios, com o objetivo de proceder à instalação de isolamento térmico em paredes, pavimentos, coberturas e caixas de estore.</w:t>
            </w:r>
          </w:p>
          <w:p w:rsidR="00EE286B" w:rsidRPr="001D1D46" w:rsidRDefault="00EE286B" w:rsidP="00632E6F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E286B" w:rsidRPr="001D1D46" w:rsidRDefault="00EE286B" w:rsidP="00632E6F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1D1D46">
              <w:rPr>
                <w:rFonts w:cs="Arial"/>
                <w:b/>
                <w:sz w:val="18"/>
                <w:szCs w:val="18"/>
                <w:lang w:val="pt-PT"/>
              </w:rPr>
              <w:t>Requisitos:</w:t>
            </w:r>
          </w:p>
          <w:p w:rsidR="00EE286B" w:rsidRPr="001D1D46" w:rsidRDefault="00EE286B" w:rsidP="00632E6F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E286B" w:rsidRPr="001D1D46" w:rsidRDefault="00EE286B" w:rsidP="00643CF1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1D1D46">
              <w:rPr>
                <w:rFonts w:cs="Arial"/>
                <w:sz w:val="18"/>
                <w:szCs w:val="18"/>
                <w:lang w:val="pt-PT"/>
              </w:rPr>
              <w:t xml:space="preserve">No caso de sistemas de isolamento térmico </w:t>
            </w:r>
            <w:r w:rsidR="00643CF1" w:rsidRPr="001D1D46">
              <w:rPr>
                <w:rFonts w:cs="Arial"/>
                <w:sz w:val="18"/>
                <w:szCs w:val="18"/>
                <w:lang w:val="pt-PT"/>
              </w:rPr>
              <w:t xml:space="preserve">de paredes </w:t>
            </w:r>
            <w:r w:rsidRPr="001D1D46">
              <w:rPr>
                <w:rFonts w:cs="Arial"/>
                <w:sz w:val="18"/>
                <w:szCs w:val="18"/>
                <w:lang w:val="pt-PT"/>
              </w:rPr>
              <w:t xml:space="preserve">pelo exterior (ETICS) o mesmo deverá cumprir com a aprovação técnica europeia (European </w:t>
            </w:r>
            <w:r w:rsidR="006F785B" w:rsidRPr="001D1D46">
              <w:rPr>
                <w:rFonts w:cs="Arial"/>
                <w:sz w:val="18"/>
                <w:szCs w:val="18"/>
                <w:lang w:val="pt-PT"/>
              </w:rPr>
              <w:t>Technical</w:t>
            </w:r>
            <w:r w:rsidRPr="001D1D46">
              <w:rPr>
                <w:rFonts w:cs="Arial"/>
                <w:sz w:val="18"/>
                <w:szCs w:val="18"/>
                <w:lang w:val="pt-PT"/>
              </w:rPr>
              <w:t xml:space="preserve"> Approval - ETA)</w:t>
            </w:r>
            <w:r w:rsidR="00643CF1" w:rsidRPr="001D1D46">
              <w:rPr>
                <w:rFonts w:cs="Arial"/>
                <w:sz w:val="18"/>
                <w:szCs w:val="18"/>
                <w:lang w:val="pt-PT"/>
              </w:rPr>
              <w:t xml:space="preserve">. No </w:t>
            </w:r>
            <w:r w:rsidR="001D1D46" w:rsidRPr="001D1D46">
              <w:rPr>
                <w:rFonts w:cs="Arial"/>
                <w:sz w:val="18"/>
                <w:szCs w:val="18"/>
                <w:lang w:val="pt-PT"/>
              </w:rPr>
              <w:t>caso de</w:t>
            </w:r>
            <w:r w:rsidR="00643CF1" w:rsidRPr="001D1D46">
              <w:rPr>
                <w:rFonts w:cs="Arial"/>
                <w:sz w:val="18"/>
                <w:szCs w:val="18"/>
                <w:lang w:val="pt-PT"/>
              </w:rPr>
              <w:t xml:space="preserve"> isolamento </w:t>
            </w:r>
            <w:r w:rsidR="001D1D46" w:rsidRPr="001D1D46">
              <w:rPr>
                <w:rFonts w:cs="Arial"/>
                <w:sz w:val="18"/>
                <w:szCs w:val="18"/>
                <w:lang w:val="pt-PT"/>
              </w:rPr>
              <w:t>térmico de</w:t>
            </w:r>
            <w:r w:rsidR="00643CF1" w:rsidRPr="001D1D46">
              <w:rPr>
                <w:rFonts w:cs="Arial"/>
                <w:sz w:val="18"/>
                <w:szCs w:val="18"/>
                <w:lang w:val="pt-PT"/>
              </w:rPr>
              <w:t xml:space="preserve"> pavimentos e coberturas (EPS e </w:t>
            </w:r>
            <w:r w:rsidR="001D1D46" w:rsidRPr="001D1D46">
              <w:rPr>
                <w:rFonts w:cs="Arial"/>
                <w:sz w:val="18"/>
                <w:szCs w:val="18"/>
                <w:lang w:val="pt-PT"/>
              </w:rPr>
              <w:t>XPS) devem</w:t>
            </w:r>
            <w:r w:rsidR="00643CF1" w:rsidRPr="001D1D46">
              <w:rPr>
                <w:rFonts w:cs="Arial"/>
                <w:sz w:val="18"/>
                <w:szCs w:val="18"/>
                <w:lang w:val="pt-PT"/>
              </w:rPr>
              <w:t xml:space="preserve"> ser cumpridas as normas </w:t>
            </w:r>
            <w:r w:rsidR="001D1D46" w:rsidRPr="001D1D46">
              <w:rPr>
                <w:rFonts w:cs="Arial"/>
                <w:sz w:val="18"/>
                <w:szCs w:val="18"/>
                <w:lang w:val="pt-PT"/>
              </w:rPr>
              <w:t>CEN e</w:t>
            </w:r>
            <w:r w:rsidR="00643CF1" w:rsidRPr="001D1D46">
              <w:rPr>
                <w:rFonts w:cs="Arial"/>
                <w:sz w:val="18"/>
                <w:szCs w:val="18"/>
                <w:lang w:val="pt-PT"/>
              </w:rPr>
              <w:t xml:space="preserve"> a </w:t>
            </w:r>
            <w:r w:rsidR="00CF6429" w:rsidRPr="001D1D46">
              <w:rPr>
                <w:rFonts w:cs="Arial"/>
                <w:sz w:val="18"/>
                <w:szCs w:val="18"/>
                <w:lang w:val="pt-PT"/>
              </w:rPr>
              <w:t>m</w:t>
            </w:r>
            <w:r w:rsidRPr="001D1D46">
              <w:rPr>
                <w:rFonts w:cs="Arial"/>
                <w:sz w:val="18"/>
                <w:szCs w:val="18"/>
                <w:lang w:val="pt-PT"/>
              </w:rPr>
              <w:t>arcação CE.</w:t>
            </w:r>
          </w:p>
        </w:tc>
        <w:tc>
          <w:tcPr>
            <w:tcW w:w="878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E286B" w:rsidRPr="001D1D46" w:rsidRDefault="00EE286B" w:rsidP="00632E6F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E286B" w:rsidRPr="001D1D46" w:rsidRDefault="00EE286B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D1D46">
              <w:rPr>
                <w:rFonts w:ascii="Arial" w:hAnsi="Arial" w:cs="Arial"/>
                <w:sz w:val="18"/>
                <w:szCs w:val="18"/>
                <w:lang w:val="pt-PT"/>
              </w:rPr>
              <w:t>Aquisição e respetiva colocação de isolamento térmico (ex: poliestireno expandido, extrudido, lã mineral, cortiça ou outro) em fachadas, paredes, pavimentos, caixa de estores e preenchimento da caixa-de-ar de paredes duplas.</w:t>
            </w:r>
          </w:p>
          <w:p w:rsidR="00EE286B" w:rsidRPr="001D1D46" w:rsidRDefault="00EE286B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1D1D46">
              <w:rPr>
                <w:rFonts w:ascii="Arial" w:hAnsi="Arial" w:cs="Arial"/>
                <w:sz w:val="18"/>
                <w:szCs w:val="18"/>
                <w:lang w:val="pt-PT"/>
              </w:rPr>
              <w:t>Acabamento (pintura, reboco, entre outros) relativo à instalação deste tipo de isolamento (por exemplo, em fachadas), na medida em que esse acabamento resulte da aplicação do isolamento.</w:t>
            </w:r>
          </w:p>
          <w:p w:rsidR="00EE286B" w:rsidRPr="001D1D46" w:rsidRDefault="00EE286B" w:rsidP="00632E6F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E286B" w:rsidRPr="001D1D46" w:rsidRDefault="00EE286B" w:rsidP="00632E6F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1D1D46">
              <w:rPr>
                <w:rFonts w:cs="Arial"/>
                <w:b/>
                <w:sz w:val="18"/>
                <w:szCs w:val="18"/>
                <w:lang w:val="pt-PT"/>
              </w:rPr>
              <w:t>Exemplos:</w:t>
            </w:r>
          </w:p>
          <w:p w:rsidR="00EE286B" w:rsidRPr="001D1D46" w:rsidRDefault="00EE286B" w:rsidP="00632E6F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1D1D46">
              <w:rPr>
                <w:rFonts w:cs="Arial"/>
                <w:sz w:val="18"/>
                <w:szCs w:val="18"/>
                <w:lang w:val="pt-PT"/>
              </w:rPr>
              <w:t>A – É colocado isolamento na fachada, sendo necessário posteriormente rebocar e pintar ou revestir a fachada – despesa elegível.</w:t>
            </w:r>
          </w:p>
          <w:p w:rsidR="00EE286B" w:rsidRPr="001D1D46" w:rsidRDefault="00EE286B" w:rsidP="00632E6F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1D1D46">
              <w:rPr>
                <w:rFonts w:cs="Arial"/>
                <w:sz w:val="18"/>
                <w:szCs w:val="18"/>
                <w:lang w:val="pt-PT"/>
              </w:rPr>
              <w:t>B – É colocado isolamento a preencher a caixa-de-ar de uma parede dupla – acabamento exterior não é despesa elegível.</w:t>
            </w:r>
          </w:p>
          <w:p w:rsidR="00EE286B" w:rsidRPr="001D1D46" w:rsidRDefault="00EE286B" w:rsidP="00632E6F">
            <w:pPr>
              <w:ind w:left="0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</w:p>
        </w:tc>
      </w:tr>
      <w:tr w:rsidR="00EE286B" w:rsidRPr="00873E92" w:rsidTr="00A05769">
        <w:trPr>
          <w:trHeight w:val="20"/>
          <w:jc w:val="center"/>
        </w:trPr>
        <w:tc>
          <w:tcPr>
            <w:tcW w:w="5382" w:type="dxa"/>
            <w:vMerge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E286B" w:rsidRPr="001D1D46" w:rsidRDefault="00EE286B" w:rsidP="00873E92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C732D" w:rsidRPr="001D1D46" w:rsidRDefault="00EC732D" w:rsidP="00EE286B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1D1D46" w:rsidRDefault="00EE286B" w:rsidP="00EE286B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1D1D46">
              <w:rPr>
                <w:rFonts w:cs="Arial"/>
                <w:b/>
                <w:sz w:val="18"/>
                <w:szCs w:val="18"/>
                <w:lang w:val="pt-PT"/>
              </w:rPr>
              <w:t xml:space="preserve">Custos Padrão por Tecnologias aplicáveis: </w:t>
            </w:r>
          </w:p>
          <w:p w:rsidR="00EC732D" w:rsidRPr="001D1D46" w:rsidRDefault="00EC732D" w:rsidP="00EE286B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E286B" w:rsidRPr="001D1D46" w:rsidRDefault="00EE286B" w:rsidP="00EE286B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1D1D46">
              <w:rPr>
                <w:rFonts w:cs="Arial"/>
                <w:sz w:val="18"/>
                <w:szCs w:val="18"/>
                <w:lang w:val="pt-PT"/>
              </w:rPr>
              <w:t>Sim, para a(s) tipologia(s) de intervenção previstas no Anexo II do Aviso:</w:t>
            </w:r>
          </w:p>
          <w:p w:rsidR="00EE286B" w:rsidRPr="001D1D46" w:rsidRDefault="00EE286B" w:rsidP="00EE286B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E286B" w:rsidRPr="001D1D46" w:rsidRDefault="00EE286B" w:rsidP="007A591F">
            <w:pPr>
              <w:pStyle w:val="PargrafodaLista"/>
              <w:numPr>
                <w:ilvl w:val="0"/>
                <w:numId w:val="4"/>
              </w:numPr>
              <w:rPr>
                <w:rFonts w:cs="Arial"/>
                <w:b/>
                <w:sz w:val="18"/>
                <w:szCs w:val="18"/>
                <w:lang w:val="pt-PT" w:eastAsia="pt-PT"/>
              </w:rPr>
            </w:pPr>
            <w:r w:rsidRPr="001D1D46">
              <w:rPr>
                <w:rFonts w:ascii="Arial" w:hAnsi="Arial" w:cs="Arial"/>
                <w:sz w:val="18"/>
                <w:szCs w:val="18"/>
                <w:lang w:val="pt-PT"/>
              </w:rPr>
              <w:t>“Envolvente opaca”</w:t>
            </w:r>
          </w:p>
        </w:tc>
      </w:tr>
      <w:tr w:rsidR="00EC732D" w:rsidRPr="00873E92" w:rsidTr="001D1D46">
        <w:trPr>
          <w:trHeight w:val="388"/>
          <w:jc w:val="center"/>
        </w:trPr>
        <w:tc>
          <w:tcPr>
            <w:tcW w:w="53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732D" w:rsidRDefault="00EC732D" w:rsidP="001407FE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C575D7" w:rsidP="001407FE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282C41">
              <w:rPr>
                <w:rFonts w:cs="Arial"/>
                <w:b/>
                <w:sz w:val="18"/>
                <w:szCs w:val="18"/>
                <w:lang w:val="pt-PT"/>
              </w:rPr>
              <w:t xml:space="preserve">ii) </w:t>
            </w:r>
            <w:r w:rsidR="00EC732D" w:rsidRPr="00873E92">
              <w:rPr>
                <w:rFonts w:cs="Arial"/>
                <w:sz w:val="18"/>
                <w:szCs w:val="18"/>
                <w:lang w:val="pt-PT"/>
              </w:rPr>
              <w:t>Intervenções na envolvente envidraçada dos edifícios, nomeadamente através da substituição de caixilharia com vidro simples, e caixilharia com vidro duplo sem corte térmico, por caixilharia com vidro duplo e corte térmico, ou solução equivalente em termos de desempenho energético, e respetiv</w:t>
            </w:r>
            <w:r w:rsidR="00EC732D">
              <w:rPr>
                <w:rFonts w:cs="Arial"/>
                <w:sz w:val="18"/>
                <w:szCs w:val="18"/>
                <w:lang w:val="pt-PT"/>
              </w:rPr>
              <w:t>os dispositivos de sombreamento.</w:t>
            </w:r>
            <w:r w:rsidR="00EC732D" w:rsidRPr="006235D6">
              <w:rPr>
                <w:rFonts w:cs="Arial"/>
                <w:sz w:val="18"/>
                <w:szCs w:val="18"/>
                <w:lang w:val="pt-PT"/>
              </w:rPr>
              <w:t xml:space="preserve"> </w:t>
            </w:r>
          </w:p>
          <w:p w:rsidR="00EC732D" w:rsidRDefault="00EC732D" w:rsidP="001407FE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1407FE" w:rsidRDefault="00EC732D" w:rsidP="001407FE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1407FE">
              <w:rPr>
                <w:rFonts w:cs="Arial"/>
                <w:b/>
                <w:sz w:val="18"/>
                <w:szCs w:val="18"/>
                <w:lang w:val="pt-PT"/>
              </w:rPr>
              <w:t>Requisitos:</w:t>
            </w:r>
          </w:p>
          <w:p w:rsidR="00EC732D" w:rsidRDefault="00EC732D" w:rsidP="001407FE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1407FE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6235D6">
              <w:rPr>
                <w:rFonts w:cs="Arial"/>
                <w:sz w:val="18"/>
                <w:szCs w:val="18"/>
                <w:lang w:val="pt-PT"/>
              </w:rPr>
              <w:t xml:space="preserve">As janelas a instalar </w:t>
            </w:r>
            <w:r w:rsidRPr="001407FE">
              <w:rPr>
                <w:rFonts w:cs="Arial"/>
                <w:sz w:val="18"/>
                <w:szCs w:val="18"/>
                <w:lang w:val="pt-PT"/>
              </w:rPr>
              <w:t xml:space="preserve">devem </w:t>
            </w:r>
            <w:r w:rsidR="00CF6429">
              <w:rPr>
                <w:rFonts w:cs="Arial"/>
                <w:sz w:val="18"/>
                <w:szCs w:val="18"/>
                <w:lang w:val="pt-PT"/>
              </w:rPr>
              <w:t xml:space="preserve">estar de acordo com </w:t>
            </w:r>
            <w:r w:rsidR="00CF6429" w:rsidRPr="00CF6429">
              <w:rPr>
                <w:rFonts w:cs="Arial"/>
                <w:sz w:val="18"/>
                <w:szCs w:val="18"/>
                <w:lang w:val="pt-PT"/>
              </w:rPr>
              <w:t xml:space="preserve">Regulamento dos Produtos da Construção (RPC) </w:t>
            </w:r>
            <w:r w:rsidR="00CF6429">
              <w:rPr>
                <w:rFonts w:cs="Arial"/>
                <w:sz w:val="18"/>
                <w:szCs w:val="18"/>
                <w:lang w:val="pt-PT"/>
              </w:rPr>
              <w:t xml:space="preserve">e evidenciar marcação CE. Para </w:t>
            </w:r>
            <w:r w:rsidR="00CF6429">
              <w:rPr>
                <w:rFonts w:cs="Arial"/>
                <w:sz w:val="18"/>
                <w:szCs w:val="18"/>
                <w:lang w:val="pt-PT"/>
              </w:rPr>
              <w:lastRenderedPageBreak/>
              <w:t xml:space="preserve">além disso devem </w:t>
            </w:r>
            <w:r w:rsidRPr="001407FE">
              <w:rPr>
                <w:rFonts w:cs="Arial"/>
                <w:sz w:val="18"/>
                <w:szCs w:val="18"/>
                <w:lang w:val="pt-PT"/>
              </w:rPr>
              <w:t>possuir classe energética A de acordo com</w:t>
            </w:r>
            <w:r w:rsidRPr="006235D6">
              <w:rPr>
                <w:rFonts w:cs="Arial"/>
                <w:sz w:val="18"/>
                <w:szCs w:val="18"/>
                <w:lang w:val="pt-PT"/>
              </w:rPr>
              <w:t xml:space="preserve"> o Sistema de Etiquetagem Energética de Produtos.</w:t>
            </w:r>
          </w:p>
          <w:p w:rsidR="00EC732D" w:rsidRDefault="00CA13D8" w:rsidP="001407FE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hyperlink r:id="rId8" w:history="1">
              <w:r w:rsidR="00EC732D" w:rsidRPr="004A2ADA">
                <w:rPr>
                  <w:rStyle w:val="Hiperligao"/>
                  <w:rFonts w:cs="Arial"/>
                  <w:sz w:val="18"/>
                  <w:szCs w:val="18"/>
                  <w:lang w:val="pt-PT"/>
                </w:rPr>
                <w:t>https://www.seep.pt/pt-PT/Paginas/default.aspx</w:t>
              </w:r>
            </w:hyperlink>
            <w:r w:rsidR="00EC732D">
              <w:rPr>
                <w:rFonts w:cs="Arial"/>
                <w:sz w:val="18"/>
                <w:szCs w:val="18"/>
                <w:lang w:val="pt-PT"/>
              </w:rPr>
              <w:t xml:space="preserve"> </w:t>
            </w:r>
          </w:p>
          <w:p w:rsidR="00EC732D" w:rsidRDefault="00EC732D" w:rsidP="001407FE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873E92" w:rsidRDefault="00EC732D" w:rsidP="001D1D46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1407FE">
              <w:rPr>
                <w:rFonts w:cs="Arial"/>
                <w:sz w:val="18"/>
                <w:szCs w:val="18"/>
                <w:lang w:val="pt-PT"/>
              </w:rPr>
              <w:t>As fachadas envidraçadas que não possuam elementos de sombreamento devem cumprir com o requisitos de fator solar previsto na Tabela I.10 da Portaria n.º 349-D/2013</w:t>
            </w:r>
            <w:r>
              <w:rPr>
                <w:rFonts w:cs="Arial"/>
                <w:sz w:val="18"/>
                <w:szCs w:val="18"/>
                <w:lang w:val="pt-PT"/>
              </w:rPr>
              <w:t>.</w:t>
            </w:r>
          </w:p>
        </w:tc>
        <w:tc>
          <w:tcPr>
            <w:tcW w:w="87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A05769" w:rsidRDefault="00A05769" w:rsidP="006235D6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6235D6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6235D6">
              <w:rPr>
                <w:rFonts w:cs="Arial"/>
                <w:sz w:val="18"/>
                <w:szCs w:val="18"/>
                <w:lang w:val="pt-PT"/>
              </w:rPr>
              <w:t>Aquisição e respetiva instalação de:</w:t>
            </w:r>
          </w:p>
          <w:p w:rsidR="00EC732D" w:rsidRPr="006235D6" w:rsidRDefault="00EC732D" w:rsidP="006235D6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A05769" w:rsidRDefault="00EC732D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A05769">
              <w:rPr>
                <w:rFonts w:ascii="Arial" w:hAnsi="Arial" w:cs="Arial"/>
                <w:sz w:val="18"/>
                <w:szCs w:val="18"/>
                <w:lang w:val="pt-PT"/>
              </w:rPr>
              <w:t>Caixilharia de alumínio com corte térmico;</w:t>
            </w:r>
          </w:p>
          <w:p w:rsidR="00EC732D" w:rsidRPr="00A05769" w:rsidRDefault="00EC732D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A05769">
              <w:rPr>
                <w:rFonts w:ascii="Arial" w:hAnsi="Arial" w:cs="Arial"/>
                <w:sz w:val="18"/>
                <w:szCs w:val="18"/>
                <w:lang w:val="pt-PT"/>
              </w:rPr>
              <w:t>Caixilharia de PVC ou madeira, ou de PVC/alumínio forrada a madeira;</w:t>
            </w:r>
          </w:p>
          <w:p w:rsidR="00EC732D" w:rsidRPr="00A05769" w:rsidRDefault="00EC732D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A05769">
              <w:rPr>
                <w:rFonts w:ascii="Arial" w:hAnsi="Arial" w:cs="Arial"/>
                <w:sz w:val="18"/>
                <w:szCs w:val="18"/>
                <w:lang w:val="pt-PT"/>
              </w:rPr>
              <w:t>Vãos duplos de caixilharia;</w:t>
            </w:r>
          </w:p>
          <w:p w:rsidR="00EC732D" w:rsidRDefault="00EC732D" w:rsidP="007A591F">
            <w:pPr>
              <w:pStyle w:val="PargrafodaLista"/>
              <w:numPr>
                <w:ilvl w:val="0"/>
                <w:numId w:val="4"/>
              </w:numPr>
              <w:rPr>
                <w:rFonts w:cs="Arial"/>
                <w:sz w:val="18"/>
                <w:szCs w:val="18"/>
                <w:lang w:val="pt-PT"/>
              </w:rPr>
            </w:pPr>
            <w:r w:rsidRPr="00A05769">
              <w:rPr>
                <w:rFonts w:ascii="Arial" w:hAnsi="Arial" w:cs="Arial"/>
                <w:sz w:val="18"/>
                <w:szCs w:val="18"/>
                <w:lang w:val="pt-PT"/>
              </w:rPr>
              <w:t>Outros tipos de caixilharia que conduzam ao cumprimento dos requisitos mínimos de desempenho</w:t>
            </w:r>
            <w:r w:rsidRPr="006235D6">
              <w:rPr>
                <w:rFonts w:cs="Arial"/>
                <w:sz w:val="18"/>
                <w:szCs w:val="18"/>
                <w:lang w:val="pt-PT"/>
              </w:rPr>
              <w:t xml:space="preserve"> aplicáveis.</w:t>
            </w:r>
          </w:p>
          <w:p w:rsidR="00EC732D" w:rsidRPr="00EC732D" w:rsidRDefault="00EC732D" w:rsidP="006235D6">
            <w:pPr>
              <w:ind w:left="0"/>
              <w:rPr>
                <w:rFonts w:cs="Arial"/>
                <w:i/>
                <w:sz w:val="18"/>
                <w:szCs w:val="18"/>
                <w:lang w:val="pt-PT"/>
              </w:rPr>
            </w:pPr>
            <w:r w:rsidRPr="00EC732D">
              <w:rPr>
                <w:rFonts w:cs="Arial"/>
                <w:i/>
                <w:sz w:val="18"/>
                <w:szCs w:val="18"/>
                <w:lang w:val="pt-PT"/>
              </w:rPr>
              <w:t>Nota: na especificação de caixilharias devem ser avaliadas as condições de ventilação do edifício ou fração e, se necessário, utilizar estes elementos para incorporar eventuais dispositivos de admissão de ar.</w:t>
            </w:r>
          </w:p>
          <w:p w:rsidR="00A05769" w:rsidRPr="006235D6" w:rsidRDefault="00A05769" w:rsidP="006235D6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551F85" w:rsidRDefault="00EC732D" w:rsidP="00551F85">
            <w:pPr>
              <w:pStyle w:val="PargrafodaLista"/>
              <w:numPr>
                <w:ilvl w:val="0"/>
                <w:numId w:val="4"/>
              </w:numPr>
              <w:rPr>
                <w:rFonts w:cs="Arial"/>
                <w:b/>
                <w:sz w:val="18"/>
                <w:szCs w:val="18"/>
                <w:lang w:val="pt-PT" w:eastAsia="pt-PT"/>
              </w:rPr>
            </w:pPr>
            <w:r w:rsidRPr="00551F85">
              <w:rPr>
                <w:rFonts w:ascii="Arial" w:hAnsi="Arial" w:cs="Arial"/>
                <w:sz w:val="18"/>
                <w:szCs w:val="18"/>
                <w:lang w:val="pt-PT"/>
              </w:rPr>
              <w:t>Dispositivos de sombreamento – palas, platibandas, estores, sistemas dinâmicos de sombreamento, fachadas agrafadas entre outras soluções que permitam um aumento na eficiência energética por melhoria das condições interiores no edifício ou fração.</w:t>
            </w:r>
          </w:p>
        </w:tc>
      </w:tr>
      <w:tr w:rsidR="00EC732D" w:rsidRPr="00873E92" w:rsidTr="001D1D46">
        <w:trPr>
          <w:trHeight w:val="1649"/>
          <w:jc w:val="center"/>
        </w:trPr>
        <w:tc>
          <w:tcPr>
            <w:tcW w:w="53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32D" w:rsidRPr="00A05769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32D" w:rsidRPr="00EC732D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EC732D">
              <w:rPr>
                <w:rFonts w:cs="Arial"/>
                <w:b/>
                <w:sz w:val="18"/>
                <w:szCs w:val="18"/>
                <w:lang w:val="pt-PT"/>
              </w:rPr>
              <w:t xml:space="preserve">Custos Padrão por Tecnologias aplicáveis: 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Sim, para a(s) tipologia(s) de intervenção previstas no Anexo II do Aviso: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6235D6" w:rsidRDefault="00EC732D" w:rsidP="00EC732D">
            <w:pPr>
              <w:ind w:left="0"/>
              <w:rPr>
                <w:rFonts w:cs="Arial"/>
                <w:sz w:val="18"/>
                <w:szCs w:val="18"/>
              </w:rPr>
            </w:pPr>
            <w:r w:rsidRPr="00EC732D">
              <w:rPr>
                <w:rFonts w:cs="Arial"/>
                <w:sz w:val="18"/>
                <w:szCs w:val="18"/>
                <w:lang w:val="pt-PT"/>
              </w:rPr>
              <w:t>“Envolvente envidraçada”</w:t>
            </w:r>
          </w:p>
        </w:tc>
      </w:tr>
      <w:tr w:rsidR="00EC732D" w:rsidRPr="00873E92" w:rsidTr="00A05769">
        <w:trPr>
          <w:trHeight w:val="1806"/>
          <w:jc w:val="center"/>
        </w:trPr>
        <w:tc>
          <w:tcPr>
            <w:tcW w:w="53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331307" w:rsidRDefault="00C575D7" w:rsidP="00723212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282C41">
              <w:rPr>
                <w:rFonts w:cs="Arial"/>
                <w:b/>
                <w:sz w:val="18"/>
                <w:szCs w:val="18"/>
                <w:lang w:val="pt-PT"/>
              </w:rPr>
              <w:t xml:space="preserve">iii) </w:t>
            </w:r>
            <w:r w:rsidR="00723212" w:rsidRPr="00282C41">
              <w:rPr>
                <w:rFonts w:cs="Arial"/>
                <w:b/>
                <w:sz w:val="18"/>
                <w:szCs w:val="18"/>
                <w:lang w:val="pt-PT"/>
              </w:rPr>
              <w:t>I</w:t>
            </w:r>
            <w:r w:rsidR="00723212" w:rsidRPr="00331307">
              <w:rPr>
                <w:rFonts w:cs="Arial"/>
                <w:sz w:val="18"/>
                <w:szCs w:val="18"/>
                <w:lang w:val="pt-PT"/>
              </w:rPr>
              <w:t>luminação interior e intervenções nos sistemas</w:t>
            </w:r>
            <w:r w:rsidR="00F308A8" w:rsidRPr="00331307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="00723212" w:rsidRPr="00331307">
              <w:rPr>
                <w:rFonts w:cs="Arial"/>
                <w:sz w:val="18"/>
                <w:szCs w:val="18"/>
                <w:lang w:val="pt-PT"/>
              </w:rPr>
              <w:t>técnicos instalados, através da substituição dos sistemas</w:t>
            </w:r>
            <w:r w:rsidR="00F308A8" w:rsidRPr="00331307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="00723212" w:rsidRPr="00331307">
              <w:rPr>
                <w:rFonts w:cs="Arial"/>
                <w:sz w:val="18"/>
                <w:szCs w:val="18"/>
                <w:lang w:val="pt-PT"/>
              </w:rPr>
              <w:t>existentes por sistemas de elevada eficiência, ou através de</w:t>
            </w:r>
            <w:r w:rsidR="00F308A8" w:rsidRPr="00331307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="00723212" w:rsidRPr="00331307">
              <w:rPr>
                <w:rFonts w:cs="Arial"/>
                <w:sz w:val="18"/>
                <w:szCs w:val="18"/>
                <w:lang w:val="pt-PT"/>
              </w:rPr>
              <w:t>intervenções nos sistemas existentes que visem aumentar</w:t>
            </w:r>
            <w:r w:rsidR="00F308A8" w:rsidRPr="00331307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="00723212" w:rsidRPr="00331307">
              <w:rPr>
                <w:rFonts w:cs="Arial"/>
                <w:sz w:val="18"/>
                <w:szCs w:val="18"/>
                <w:lang w:val="pt-PT"/>
              </w:rPr>
              <w:t>a sua eficiência energética, nomeadamente integração de</w:t>
            </w:r>
            <w:r w:rsidR="00F308A8" w:rsidRPr="00331307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="00723212" w:rsidRPr="00331307">
              <w:rPr>
                <w:rFonts w:cs="Arial"/>
                <w:sz w:val="18"/>
                <w:szCs w:val="18"/>
                <w:lang w:val="pt-PT"/>
              </w:rPr>
              <w:t>água quente solar, incorporação de microgeração, sistemas</w:t>
            </w:r>
            <w:r w:rsidR="00F308A8" w:rsidRPr="00331307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="00723212" w:rsidRPr="00331307">
              <w:rPr>
                <w:rFonts w:cs="Arial"/>
                <w:sz w:val="18"/>
                <w:szCs w:val="18"/>
                <w:lang w:val="pt-PT"/>
              </w:rPr>
              <w:t>de iluminação, aquecimento, ventilação e ar condicionado</w:t>
            </w:r>
            <w:r w:rsidR="00F308A8" w:rsidRPr="00331307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="00723212" w:rsidRPr="00331307">
              <w:rPr>
                <w:rFonts w:cs="Arial"/>
                <w:sz w:val="18"/>
                <w:szCs w:val="18"/>
                <w:lang w:val="pt-PT"/>
              </w:rPr>
              <w:t>(AVAC)</w:t>
            </w: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331307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b/>
                <w:sz w:val="18"/>
                <w:szCs w:val="18"/>
                <w:lang w:val="pt-PT"/>
              </w:rPr>
              <w:t>Requisitos:</w:t>
            </w: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sz w:val="18"/>
                <w:szCs w:val="18"/>
                <w:lang w:val="pt-PT"/>
              </w:rPr>
              <w:t xml:space="preserve">A intervenção deverá cumprir com os requisitos de eficiência previstos nos seguintes pontos da Portaria n.º 349-D/2013:  </w:t>
            </w: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sz w:val="18"/>
                <w:szCs w:val="18"/>
                <w:lang w:val="pt-PT"/>
              </w:rPr>
              <w:t>Ponto 7 - Sistemas de ar condicionado;</w:t>
            </w: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sz w:val="18"/>
                <w:szCs w:val="18"/>
                <w:lang w:val="pt-PT"/>
              </w:rPr>
              <w:t>Ponto 8 - Sistemas de preparação de AQS</w:t>
            </w: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sz w:val="18"/>
                <w:szCs w:val="18"/>
                <w:lang w:val="pt-PT"/>
              </w:rPr>
              <w:t>Ponto 9 - Sistemas de Iluminação.</w:t>
            </w: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sz w:val="18"/>
                <w:szCs w:val="18"/>
                <w:lang w:val="pt-PT"/>
              </w:rPr>
              <w:t>Projeto de execução dos sistemas a instalar</w:t>
            </w: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sz w:val="18"/>
                <w:szCs w:val="18"/>
                <w:lang w:val="pt-PT"/>
              </w:rPr>
              <w:t xml:space="preserve"> </w:t>
            </w: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sz w:val="18"/>
                <w:szCs w:val="18"/>
                <w:lang w:val="pt-PT"/>
              </w:rPr>
              <w:t>Nos casos dos sistemas de aquecimento a instalar (esquentadores de condensação, caldeira de condensação, bombas de calor) devem possuir classe energética mínima igual a A</w:t>
            </w:r>
            <w:r w:rsidR="002A24B6" w:rsidRPr="00331307">
              <w:rPr>
                <w:rFonts w:cs="Arial"/>
                <w:sz w:val="18"/>
                <w:szCs w:val="18"/>
                <w:lang w:val="pt-PT"/>
              </w:rPr>
              <w:t>.</w:t>
            </w:r>
          </w:p>
          <w:p w:rsidR="002A24B6" w:rsidRPr="00331307" w:rsidRDefault="002A24B6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2A24B6" w:rsidRPr="00331307" w:rsidRDefault="002A24B6" w:rsidP="002A24B6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sz w:val="18"/>
                <w:szCs w:val="18"/>
                <w:lang w:val="pt-PT"/>
              </w:rPr>
              <w:t>Nos casos de equipamentos de iluminação interior a instalar devem possuir classe energética mínima igual a A.</w:t>
            </w:r>
          </w:p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732D" w:rsidRPr="0033130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2A24B6" w:rsidRPr="00331307" w:rsidRDefault="002A24B6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331307">
              <w:rPr>
                <w:rFonts w:ascii="Arial" w:hAnsi="Arial" w:cs="Arial"/>
                <w:sz w:val="18"/>
                <w:szCs w:val="18"/>
                <w:lang w:val="pt-PT"/>
              </w:rPr>
              <w:t>Aquisição e instalação de equipamentos de iluminação interior.</w:t>
            </w:r>
          </w:p>
          <w:p w:rsidR="002A24B6" w:rsidRPr="00331307" w:rsidRDefault="002A24B6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331307">
              <w:rPr>
                <w:rFonts w:ascii="Arial" w:hAnsi="Arial" w:cs="Arial"/>
                <w:sz w:val="18"/>
                <w:szCs w:val="18"/>
                <w:lang w:val="pt-PT"/>
              </w:rPr>
              <w:t>Lâmpadas.</w:t>
            </w:r>
          </w:p>
          <w:p w:rsidR="00EC732D" w:rsidRPr="00331307" w:rsidRDefault="00EC732D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331307">
              <w:rPr>
                <w:rFonts w:ascii="Arial" w:hAnsi="Arial" w:cs="Arial"/>
                <w:sz w:val="18"/>
                <w:szCs w:val="18"/>
                <w:lang w:val="pt-PT"/>
              </w:rPr>
              <w:t>Intervenções em sistemas de produção de águas quentes sanitárias (AQS) ou outros sistemas técnicos já existentes, com o objetivo da sua otimização em termos de eficiência energética.</w:t>
            </w:r>
          </w:p>
          <w:p w:rsidR="00EC732D" w:rsidRPr="00331307" w:rsidRDefault="00EC732D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331307">
              <w:rPr>
                <w:rFonts w:ascii="Arial" w:hAnsi="Arial" w:cs="Arial"/>
                <w:sz w:val="18"/>
                <w:szCs w:val="18"/>
                <w:lang w:val="pt-PT"/>
              </w:rPr>
              <w:t>Substituição (aquisição e instalação) de sistema AQS por outro novo, mais eficiente – por exemplo, num edifício devoluto que já apresente algum tipo de sistema de AQS, ainda que esteja devoluto, é elegível a colocação de um novo, mais eficiente.</w:t>
            </w:r>
          </w:p>
          <w:p w:rsidR="00EC732D" w:rsidRPr="00331307" w:rsidRDefault="00EC732D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331307">
              <w:rPr>
                <w:rFonts w:ascii="Arial" w:hAnsi="Arial" w:cs="Arial"/>
                <w:sz w:val="18"/>
                <w:szCs w:val="18"/>
                <w:lang w:val="pt-PT"/>
              </w:rPr>
              <w:t>Inclui a aquisição e instalação de esquentadores, caldeiras, termoacumuladores, bombas de calor, entre outros, e canalizações (neste último caso, apenas aquelas que integram o sistema de AQS, ou seja as destinadas à distribuição de água quente).</w:t>
            </w:r>
          </w:p>
          <w:p w:rsidR="00EC732D" w:rsidRPr="00331307" w:rsidRDefault="00EC732D" w:rsidP="007A591F">
            <w:pPr>
              <w:pStyle w:val="PargrafodaLista"/>
              <w:numPr>
                <w:ilvl w:val="0"/>
                <w:numId w:val="4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331307">
              <w:rPr>
                <w:rFonts w:ascii="Arial" w:hAnsi="Arial" w:cs="Arial"/>
                <w:sz w:val="18"/>
                <w:szCs w:val="18"/>
                <w:lang w:val="pt-PT"/>
              </w:rPr>
              <w:t>Nos outros sistemas técnicos, incluem-se os sistemas de climatização (ar condicionado, sistemas de aquecimento central, entre outros) e de sistemas de ventilação pontual em casas de banho, mas atendendo sempre à necessidade de substituição de um sistema previamente existente por outro de elevada eficiência.</w:t>
            </w:r>
          </w:p>
          <w:p w:rsidR="00EC732D" w:rsidRPr="00331307" w:rsidRDefault="00EC732D" w:rsidP="00EC732D">
            <w:pPr>
              <w:ind w:left="0"/>
              <w:rPr>
                <w:rFonts w:cs="Arial"/>
                <w:b/>
                <w:sz w:val="18"/>
                <w:szCs w:val="18"/>
                <w:u w:val="single"/>
                <w:lang w:val="pt-PT"/>
              </w:rPr>
            </w:pPr>
          </w:p>
          <w:p w:rsidR="00EC732D" w:rsidRPr="00331307" w:rsidRDefault="005A4896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b/>
                <w:sz w:val="18"/>
                <w:szCs w:val="18"/>
                <w:lang w:val="pt-PT"/>
              </w:rPr>
              <w:t>Exemplos de operações n</w:t>
            </w:r>
            <w:r w:rsidR="00EC732D" w:rsidRPr="00331307">
              <w:rPr>
                <w:rFonts w:cs="Arial"/>
                <w:b/>
                <w:sz w:val="18"/>
                <w:szCs w:val="18"/>
                <w:lang w:val="pt-PT"/>
              </w:rPr>
              <w:t>ão elegíve</w:t>
            </w:r>
            <w:r w:rsidRPr="00331307">
              <w:rPr>
                <w:rFonts w:cs="Arial"/>
                <w:b/>
                <w:sz w:val="18"/>
                <w:szCs w:val="18"/>
                <w:lang w:val="pt-PT"/>
              </w:rPr>
              <w:t>is (não exaustivo)</w:t>
            </w:r>
            <w:r w:rsidR="00EC732D" w:rsidRPr="00331307">
              <w:rPr>
                <w:rFonts w:cs="Arial"/>
                <w:b/>
                <w:sz w:val="18"/>
                <w:szCs w:val="18"/>
                <w:lang w:val="pt-PT"/>
              </w:rPr>
              <w:t>:</w:t>
            </w:r>
          </w:p>
          <w:p w:rsidR="00A05769" w:rsidRPr="00331307" w:rsidRDefault="00A05769" w:rsidP="00EC732D">
            <w:pPr>
              <w:ind w:left="0"/>
              <w:rPr>
                <w:rFonts w:cs="Arial"/>
                <w:b/>
                <w:sz w:val="18"/>
                <w:szCs w:val="18"/>
                <w:u w:val="single"/>
                <w:lang w:val="pt-PT"/>
              </w:rPr>
            </w:pPr>
          </w:p>
          <w:p w:rsidR="00EC732D" w:rsidRPr="00331307" w:rsidRDefault="00EC732D" w:rsidP="007A591F">
            <w:pPr>
              <w:pStyle w:val="PargrafodaLista"/>
              <w:numPr>
                <w:ilvl w:val="0"/>
                <w:numId w:val="5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331307">
              <w:rPr>
                <w:rFonts w:ascii="Arial" w:hAnsi="Arial" w:cs="Arial"/>
                <w:sz w:val="18"/>
                <w:szCs w:val="18"/>
                <w:lang w:val="pt-PT"/>
              </w:rPr>
              <w:t>Aquisição e instalação de sistema de AQS e de outros sistemas técnicos onde não existia nenhum.</w:t>
            </w:r>
          </w:p>
          <w:p w:rsidR="00EC732D" w:rsidRPr="00331307" w:rsidRDefault="00EC732D" w:rsidP="007A591F">
            <w:pPr>
              <w:pStyle w:val="PargrafodaLista"/>
              <w:numPr>
                <w:ilvl w:val="0"/>
                <w:numId w:val="5"/>
              </w:numPr>
              <w:rPr>
                <w:rFonts w:cs="Arial"/>
                <w:b/>
                <w:sz w:val="18"/>
                <w:szCs w:val="18"/>
                <w:lang w:val="pt-PT" w:eastAsia="pt-PT"/>
              </w:rPr>
            </w:pPr>
            <w:r w:rsidRPr="00331307">
              <w:rPr>
                <w:rFonts w:ascii="Arial" w:hAnsi="Arial" w:cs="Arial"/>
                <w:sz w:val="18"/>
                <w:szCs w:val="18"/>
                <w:lang w:val="pt-PT"/>
              </w:rPr>
              <w:t>Aquisição e instalação de sistemas de ventilação pontual (exaustores) de cozinha.</w:t>
            </w:r>
          </w:p>
          <w:p w:rsidR="002A24B6" w:rsidRPr="00331307" w:rsidRDefault="002A24B6" w:rsidP="007A591F">
            <w:pPr>
              <w:pStyle w:val="PargrafodaLista"/>
              <w:numPr>
                <w:ilvl w:val="0"/>
                <w:numId w:val="5"/>
              </w:numPr>
              <w:rPr>
                <w:rFonts w:cs="Arial"/>
                <w:b/>
                <w:sz w:val="18"/>
                <w:szCs w:val="18"/>
                <w:lang w:val="pt-PT" w:eastAsia="pt-PT"/>
              </w:rPr>
            </w:pPr>
            <w:r w:rsidRPr="00331307">
              <w:rPr>
                <w:rFonts w:ascii="Arial" w:hAnsi="Arial" w:cs="Arial"/>
                <w:sz w:val="18"/>
                <w:szCs w:val="18"/>
                <w:lang w:val="pt-PT"/>
              </w:rPr>
              <w:t>Intervenções nas redes elétricas.</w:t>
            </w:r>
          </w:p>
        </w:tc>
      </w:tr>
      <w:tr w:rsidR="00EC732D" w:rsidRPr="00873E92" w:rsidTr="00A342B8">
        <w:trPr>
          <w:trHeight w:val="1682"/>
          <w:jc w:val="center"/>
        </w:trPr>
        <w:tc>
          <w:tcPr>
            <w:tcW w:w="53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32D" w:rsidRPr="00C575D7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32D" w:rsidRPr="00EC732D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EC732D">
              <w:rPr>
                <w:rFonts w:cs="Arial"/>
                <w:b/>
                <w:sz w:val="18"/>
                <w:szCs w:val="18"/>
                <w:lang w:val="pt-PT"/>
              </w:rPr>
              <w:t xml:space="preserve">Custos Padrão por Tecnologias aplicáveis: 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Sim, para a(s) tipologia(s) de intervenção previstas no Anexo II do Aviso: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EC732D">
              <w:rPr>
                <w:rFonts w:cs="Arial"/>
                <w:sz w:val="18"/>
                <w:szCs w:val="18"/>
                <w:lang w:val="pt-PT"/>
              </w:rPr>
              <w:t>“Aquecimento de águas sanitárias (AQS)”</w:t>
            </w:r>
          </w:p>
          <w:p w:rsidR="002A24B6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“</w:t>
            </w:r>
            <w:r w:rsidRPr="00EC732D">
              <w:rPr>
                <w:rFonts w:cs="Arial"/>
                <w:sz w:val="18"/>
                <w:szCs w:val="18"/>
                <w:lang w:val="pt-PT"/>
              </w:rPr>
              <w:t>AQS e Climatização</w:t>
            </w:r>
            <w:r>
              <w:rPr>
                <w:rFonts w:cs="Arial"/>
                <w:sz w:val="18"/>
                <w:szCs w:val="18"/>
                <w:lang w:val="pt-PT"/>
              </w:rPr>
              <w:t>”</w:t>
            </w:r>
            <w:r w:rsidR="002A24B6">
              <w:rPr>
                <w:rFonts w:cs="Arial"/>
                <w:sz w:val="18"/>
                <w:szCs w:val="18"/>
                <w:lang w:val="pt-PT"/>
              </w:rPr>
              <w:t xml:space="preserve"> </w:t>
            </w:r>
          </w:p>
          <w:p w:rsidR="00EC732D" w:rsidRPr="00EC732D" w:rsidRDefault="002A24B6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F65DE8">
              <w:rPr>
                <w:rFonts w:cs="Arial"/>
                <w:sz w:val="18"/>
                <w:szCs w:val="18"/>
                <w:lang w:val="pt-PT"/>
              </w:rPr>
              <w:t>“Sistemas de iluminação”</w:t>
            </w:r>
          </w:p>
        </w:tc>
      </w:tr>
      <w:tr w:rsidR="00EC732D" w:rsidRPr="00873E92" w:rsidTr="00A05769">
        <w:trPr>
          <w:trHeight w:val="1448"/>
          <w:jc w:val="center"/>
        </w:trPr>
        <w:tc>
          <w:tcPr>
            <w:tcW w:w="53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732D" w:rsidRDefault="005813E1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282C41">
              <w:rPr>
                <w:rFonts w:cs="Arial"/>
                <w:b/>
                <w:sz w:val="18"/>
                <w:szCs w:val="18"/>
                <w:lang w:val="pt-PT"/>
              </w:rPr>
              <w:t>i</w:t>
            </w:r>
            <w:r w:rsidR="00C575D7" w:rsidRPr="00282C41">
              <w:rPr>
                <w:rFonts w:cs="Arial"/>
                <w:b/>
                <w:sz w:val="18"/>
                <w:szCs w:val="18"/>
                <w:lang w:val="pt-PT"/>
              </w:rPr>
              <w:t>v)</w:t>
            </w:r>
            <w:r w:rsidR="00C575D7"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="00EC732D" w:rsidRPr="00873E92">
              <w:rPr>
                <w:rFonts w:cs="Arial"/>
                <w:sz w:val="18"/>
                <w:szCs w:val="18"/>
                <w:lang w:val="pt-PT"/>
              </w:rPr>
              <w:t>Instalação de sistemas e equipamentos que permitam a gestão de consumos de energia, por forma a contabilizar e gerir os consumos de energia, gerando assim economias e possibilitando a sua transferência entre períodos tarifários.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1407FE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1407FE">
              <w:rPr>
                <w:rFonts w:cs="Arial"/>
                <w:b/>
                <w:sz w:val="18"/>
                <w:szCs w:val="18"/>
                <w:lang w:val="pt-PT"/>
              </w:rPr>
              <w:t>Requisitos: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1407FE">
              <w:rPr>
                <w:rFonts w:cs="Arial"/>
                <w:sz w:val="18"/>
                <w:szCs w:val="18"/>
                <w:lang w:val="pt-PT"/>
              </w:rPr>
              <w:t>No caso de sistemas de gestão técnica centralizada de edifícios a intervenção deverá cumprir com os requisitos de eficiência aplicáveis e previstos no ponto 10 da Portaria n.º 349-D/2013.</w:t>
            </w:r>
          </w:p>
          <w:p w:rsidR="00EC732D" w:rsidRPr="001407FE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1407FE">
              <w:rPr>
                <w:rFonts w:cs="Arial"/>
                <w:sz w:val="18"/>
                <w:szCs w:val="18"/>
                <w:lang w:val="pt-PT"/>
              </w:rPr>
              <w:t xml:space="preserve"> 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Proje</w:t>
            </w:r>
            <w:r w:rsidRPr="001407FE">
              <w:rPr>
                <w:rFonts w:cs="Arial"/>
                <w:sz w:val="18"/>
                <w:szCs w:val="18"/>
                <w:lang w:val="pt-PT"/>
              </w:rPr>
              <w:t>to de execução dos sistemas a instalar</w:t>
            </w:r>
          </w:p>
          <w:p w:rsidR="00EC732D" w:rsidRPr="00873E92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D800B0" w:rsidRDefault="00EC732D" w:rsidP="00D800B0">
            <w:pPr>
              <w:pStyle w:val="PargrafodaLista"/>
              <w:numPr>
                <w:ilvl w:val="0"/>
                <w:numId w:val="6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D800B0">
              <w:rPr>
                <w:rFonts w:ascii="Arial" w:hAnsi="Arial" w:cs="Arial"/>
                <w:sz w:val="18"/>
                <w:szCs w:val="18"/>
                <w:lang w:val="pt-PT"/>
              </w:rPr>
              <w:t>Aquisição e instalação de equipamentos e sistemas que permitem, do ponto de vista do utilizador, gerir o consumo de energia da fração ou edifício (por ex. Termostatos, relógios programadores de corrente elétrica, reguladores de intensidade de luz).</w:t>
            </w:r>
          </w:p>
          <w:p w:rsidR="00EC732D" w:rsidRPr="006235D6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5221E3" w:rsidRDefault="005221E3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5221E3">
              <w:rPr>
                <w:rFonts w:cs="Arial"/>
                <w:b/>
                <w:sz w:val="18"/>
                <w:szCs w:val="18"/>
                <w:lang w:val="pt-PT"/>
              </w:rPr>
              <w:t>Exemplos de operações não elegíveis (não exaustivo)</w:t>
            </w:r>
            <w:r w:rsidR="00EC732D" w:rsidRPr="005221E3">
              <w:rPr>
                <w:rFonts w:cs="Arial"/>
                <w:b/>
                <w:sz w:val="18"/>
                <w:szCs w:val="18"/>
                <w:lang w:val="pt-PT"/>
              </w:rPr>
              <w:t>:</w:t>
            </w:r>
          </w:p>
          <w:p w:rsidR="00A05769" w:rsidRPr="006235D6" w:rsidRDefault="00A05769" w:rsidP="00EC732D">
            <w:pPr>
              <w:ind w:left="0"/>
              <w:rPr>
                <w:rFonts w:cs="Arial"/>
                <w:b/>
                <w:sz w:val="18"/>
                <w:szCs w:val="18"/>
                <w:u w:val="single"/>
                <w:lang w:val="pt-PT"/>
              </w:rPr>
            </w:pPr>
          </w:p>
          <w:p w:rsidR="00EC732D" w:rsidRPr="00873E92" w:rsidRDefault="00EC732D" w:rsidP="007A591F">
            <w:pPr>
              <w:pStyle w:val="PargrafodaLista"/>
              <w:numPr>
                <w:ilvl w:val="0"/>
                <w:numId w:val="7"/>
              </w:numPr>
              <w:rPr>
                <w:rFonts w:cs="Arial"/>
                <w:b/>
                <w:sz w:val="18"/>
                <w:szCs w:val="18"/>
                <w:lang w:val="pt-PT" w:eastAsia="pt-PT"/>
              </w:rPr>
            </w:pPr>
            <w:r w:rsidRPr="00A05769">
              <w:rPr>
                <w:rFonts w:ascii="Arial" w:hAnsi="Arial" w:cs="Arial"/>
                <w:sz w:val="18"/>
                <w:szCs w:val="18"/>
                <w:lang w:val="pt-PT"/>
              </w:rPr>
              <w:t>Contadores inteligentes e eletrodomésticos que permitam regulação do consumo de energia.</w:t>
            </w:r>
          </w:p>
        </w:tc>
      </w:tr>
      <w:tr w:rsidR="00EC732D" w:rsidRPr="00873E92" w:rsidTr="00A342B8">
        <w:trPr>
          <w:trHeight w:val="1028"/>
          <w:jc w:val="center"/>
        </w:trPr>
        <w:tc>
          <w:tcPr>
            <w:tcW w:w="53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32D" w:rsidRPr="00A05769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32D" w:rsidRPr="00EC732D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EC732D">
              <w:rPr>
                <w:rFonts w:cs="Arial"/>
                <w:b/>
                <w:sz w:val="18"/>
                <w:szCs w:val="18"/>
                <w:lang w:val="pt-PT"/>
              </w:rPr>
              <w:t xml:space="preserve">Custos Padrão por Tecnologias aplicáveis: 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Não.</w:t>
            </w:r>
          </w:p>
        </w:tc>
      </w:tr>
    </w:tbl>
    <w:p w:rsidR="007A591F" w:rsidRDefault="007A591F"/>
    <w:p w:rsidR="00B35B93" w:rsidRDefault="00B35B93"/>
    <w:p w:rsidR="00B35B93" w:rsidRDefault="00B35B93"/>
    <w:p w:rsidR="00B35B93" w:rsidRDefault="00B35B93"/>
    <w:p w:rsidR="00B35B93" w:rsidRDefault="00B35B93"/>
    <w:p w:rsidR="00A342B8" w:rsidRDefault="00A342B8"/>
    <w:p w:rsidR="00A342B8" w:rsidRDefault="00A342B8"/>
    <w:p w:rsidR="00A342B8" w:rsidRDefault="00A342B8"/>
    <w:p w:rsidR="00A342B8" w:rsidRDefault="00A342B8"/>
    <w:p w:rsidR="00A342B8" w:rsidRDefault="00A342B8"/>
    <w:p w:rsidR="00B35B93" w:rsidRDefault="00B35B93"/>
    <w:p w:rsidR="00B35B93" w:rsidRDefault="00B35B93"/>
    <w:p w:rsidR="00B35B93" w:rsidRDefault="00B35B93"/>
    <w:p w:rsidR="00B35B93" w:rsidRDefault="00B35B93"/>
    <w:p w:rsidR="00B35B93" w:rsidRDefault="00B35B93"/>
    <w:tbl>
      <w:tblPr>
        <w:tblStyle w:val="Tabelacomgrelha2"/>
        <w:tblW w:w="14170" w:type="dxa"/>
        <w:jc w:val="center"/>
        <w:tblLayout w:type="fixed"/>
        <w:tblLook w:val="04A0"/>
      </w:tblPr>
      <w:tblGrid>
        <w:gridCol w:w="5382"/>
        <w:gridCol w:w="8788"/>
      </w:tblGrid>
      <w:tr w:rsidR="00323A05" w:rsidRPr="00873E92" w:rsidTr="00632E6F">
        <w:trPr>
          <w:trHeight w:val="20"/>
          <w:jc w:val="center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323A05" w:rsidRPr="00873E92" w:rsidRDefault="00323A05" w:rsidP="00323A05">
            <w:pPr>
              <w:spacing w:before="60" w:after="60"/>
              <w:ind w:left="0"/>
              <w:jc w:val="center"/>
              <w:rPr>
                <w:rFonts w:eastAsia="Calibri" w:cs="Arial"/>
                <w:b/>
                <w:spacing w:val="0"/>
                <w:szCs w:val="18"/>
                <w:lang w:val="pt-PT"/>
              </w:rPr>
            </w:pPr>
            <w:r>
              <w:rPr>
                <w:rFonts w:eastAsia="Calibri" w:cs="Arial"/>
                <w:b/>
                <w:spacing w:val="0"/>
                <w:szCs w:val="18"/>
                <w:lang w:val="pt-PT"/>
              </w:rPr>
              <w:lastRenderedPageBreak/>
              <w:t>Requisitos das m</w:t>
            </w:r>
            <w:r w:rsidRPr="00873E92">
              <w:rPr>
                <w:rFonts w:eastAsia="Calibri" w:cs="Arial"/>
                <w:b/>
                <w:spacing w:val="0"/>
                <w:szCs w:val="18"/>
                <w:lang w:val="pt-PT"/>
              </w:rPr>
              <w:t>edidas</w:t>
            </w:r>
          </w:p>
        </w:tc>
        <w:tc>
          <w:tcPr>
            <w:tcW w:w="87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323A05" w:rsidRPr="00873E92" w:rsidRDefault="00323A05" w:rsidP="00323A05">
            <w:pPr>
              <w:spacing w:before="60" w:after="60"/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  <w:lang w:val="pt-PT"/>
              </w:rPr>
            </w:pPr>
            <w:r>
              <w:rPr>
                <w:rFonts w:eastAsia="Calibri" w:cs="Arial"/>
                <w:b/>
                <w:spacing w:val="0"/>
                <w:sz w:val="18"/>
                <w:szCs w:val="18"/>
                <w:lang w:val="pt-PT"/>
              </w:rPr>
              <w:t>Despesas Elegíveis</w:t>
            </w:r>
          </w:p>
        </w:tc>
      </w:tr>
      <w:tr w:rsidR="00EC732D" w:rsidRPr="00873E92" w:rsidTr="00A05769">
        <w:trPr>
          <w:trHeight w:val="20"/>
          <w:jc w:val="center"/>
        </w:trPr>
        <w:tc>
          <w:tcPr>
            <w:tcW w:w="14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EC732D" w:rsidRPr="00ED6D52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ED6D52">
              <w:rPr>
                <w:rFonts w:cs="Arial"/>
                <w:b/>
                <w:sz w:val="18"/>
                <w:szCs w:val="18"/>
                <w:lang w:val="pt-PT"/>
              </w:rPr>
              <w:t xml:space="preserve">b) Intervenções ao nível da promoção de energias renováveis nos edifícios e equipamentos da administração </w:t>
            </w:r>
            <w:r w:rsidR="005813E1">
              <w:rPr>
                <w:rFonts w:cs="Arial"/>
                <w:b/>
                <w:sz w:val="18"/>
                <w:szCs w:val="18"/>
                <w:lang w:val="pt-PT"/>
              </w:rPr>
              <w:t>local</w:t>
            </w:r>
            <w:r w:rsidR="005813E1" w:rsidRPr="00ED6D52">
              <w:rPr>
                <w:rFonts w:cs="Arial"/>
                <w:b/>
                <w:sz w:val="18"/>
                <w:szCs w:val="18"/>
                <w:lang w:val="pt-PT"/>
              </w:rPr>
              <w:t xml:space="preserve"> </w:t>
            </w:r>
            <w:r w:rsidRPr="00ED6D52">
              <w:rPr>
                <w:rFonts w:cs="Arial"/>
                <w:b/>
                <w:sz w:val="18"/>
                <w:szCs w:val="18"/>
                <w:lang w:val="pt-PT"/>
              </w:rPr>
              <w:t>para autoconsumo desde que façam parte de soluções integradas que visem a eficiência energética</w:t>
            </w:r>
          </w:p>
          <w:p w:rsidR="00EC732D" w:rsidRPr="00873E92" w:rsidRDefault="00EC732D" w:rsidP="00EC732D">
            <w:pPr>
              <w:ind w:left="0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(tipologia de o</w:t>
            </w:r>
            <w:r w:rsidRPr="00873E92">
              <w:rPr>
                <w:rFonts w:cs="Arial"/>
                <w:sz w:val="18"/>
                <w:szCs w:val="18"/>
                <w:lang w:val="pt-PT"/>
              </w:rPr>
              <w:t>peração</w:t>
            </w:r>
            <w:r>
              <w:rPr>
                <w:rFonts w:cs="Arial"/>
                <w:sz w:val="18"/>
                <w:szCs w:val="18"/>
                <w:lang w:val="pt-PT"/>
              </w:rPr>
              <w:t>: alínea b) do ponto 2.1 do Aviso)</w:t>
            </w:r>
          </w:p>
        </w:tc>
      </w:tr>
      <w:tr w:rsidR="00EC732D" w:rsidRPr="00873E92" w:rsidTr="00A05769">
        <w:trPr>
          <w:trHeight w:val="1343"/>
          <w:jc w:val="center"/>
        </w:trPr>
        <w:tc>
          <w:tcPr>
            <w:tcW w:w="53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C575D7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282C41">
              <w:rPr>
                <w:rFonts w:cs="Arial"/>
                <w:b/>
                <w:sz w:val="18"/>
                <w:szCs w:val="18"/>
                <w:lang w:val="pt-PT"/>
              </w:rPr>
              <w:t>i)</w:t>
            </w:r>
            <w:r>
              <w:rPr>
                <w:rFonts w:cs="Arial"/>
                <w:sz w:val="18"/>
                <w:szCs w:val="18"/>
                <w:lang w:val="pt-PT"/>
              </w:rPr>
              <w:t xml:space="preserve"> </w:t>
            </w:r>
            <w:r w:rsidR="00EC732D" w:rsidRPr="00873E92">
              <w:rPr>
                <w:rFonts w:cs="Arial"/>
                <w:sz w:val="18"/>
                <w:szCs w:val="18"/>
                <w:lang w:val="pt-PT"/>
              </w:rPr>
              <w:t>Instalação de painéis solares térmicos para produção de água quente sanitária</w:t>
            </w:r>
            <w:r w:rsidR="005813E1">
              <w:rPr>
                <w:rFonts w:cs="Arial"/>
                <w:sz w:val="18"/>
                <w:szCs w:val="18"/>
                <w:lang w:val="pt-PT"/>
              </w:rPr>
              <w:t xml:space="preserve"> e climatização</w:t>
            </w:r>
            <w:r w:rsidR="00EC732D" w:rsidRPr="00873E92">
              <w:rPr>
                <w:rFonts w:cs="Arial"/>
                <w:sz w:val="18"/>
                <w:szCs w:val="18"/>
                <w:lang w:val="pt-PT"/>
              </w:rPr>
              <w:t>;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1407FE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1407FE">
              <w:rPr>
                <w:rFonts w:cs="Arial"/>
                <w:b/>
                <w:sz w:val="18"/>
                <w:szCs w:val="18"/>
                <w:lang w:val="pt-PT"/>
              </w:rPr>
              <w:t>Requisitos: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1407FE">
              <w:rPr>
                <w:rFonts w:cs="Arial"/>
                <w:sz w:val="18"/>
                <w:szCs w:val="18"/>
                <w:lang w:val="pt-PT"/>
              </w:rPr>
              <w:t>A intervenção deverá cumprir com os requisitos de eficiência previstos no ponto</w:t>
            </w:r>
            <w:r>
              <w:rPr>
                <w:rFonts w:cs="Arial"/>
                <w:sz w:val="18"/>
                <w:szCs w:val="18"/>
                <w:lang w:val="pt-PT"/>
              </w:rPr>
              <w:t xml:space="preserve"> 8 da Portaria n.º 349-D/2013;</w:t>
            </w:r>
          </w:p>
          <w:p w:rsidR="00EC732D" w:rsidRPr="001407FE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3E165C" w:rsidRPr="003E165C" w:rsidRDefault="003E165C" w:rsidP="003E165C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O</w:t>
            </w:r>
            <w:r w:rsidRPr="003E165C">
              <w:rPr>
                <w:rFonts w:cs="Arial"/>
                <w:sz w:val="18"/>
                <w:szCs w:val="18"/>
                <w:lang w:val="pt-PT"/>
              </w:rPr>
              <w:t>s sistemas solares térmicos a instalar devem possuir Solar Keymark ou a marcação CE. A classe energética A de acordo com a Sistema de Etiquetagem Label Pack A+:</w:t>
            </w:r>
          </w:p>
          <w:p w:rsidR="00EC732D" w:rsidRPr="00474AF3" w:rsidRDefault="00CA13D8" w:rsidP="003E165C">
            <w:pPr>
              <w:ind w:left="0"/>
              <w:rPr>
                <w:rStyle w:val="Hiperligao"/>
                <w:rFonts w:cs="Arial"/>
                <w:sz w:val="18"/>
                <w:szCs w:val="18"/>
                <w:lang w:val="pt-PT"/>
              </w:rPr>
            </w:pPr>
            <w:hyperlink r:id="rId9" w:history="1">
              <w:r w:rsidR="000212A3" w:rsidRPr="000212A3">
                <w:rPr>
                  <w:rStyle w:val="Hiperligao"/>
                  <w:rFonts w:cs="Arial"/>
                  <w:sz w:val="18"/>
                  <w:szCs w:val="18"/>
                  <w:lang w:val="pt-PT"/>
                </w:rPr>
                <w:t>http://www.label-pack-a-plus.eu/Portugal/</w:t>
              </w:r>
            </w:hyperlink>
          </w:p>
          <w:p w:rsidR="00474AF3" w:rsidRPr="00474AF3" w:rsidRDefault="00474AF3" w:rsidP="003E165C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3E165C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1407FE">
              <w:rPr>
                <w:rFonts w:cs="Arial"/>
                <w:sz w:val="18"/>
                <w:szCs w:val="18"/>
                <w:lang w:val="pt-PT"/>
              </w:rPr>
              <w:t>Projeto</w:t>
            </w:r>
            <w:r w:rsidR="00EC732D" w:rsidRPr="001407FE">
              <w:rPr>
                <w:rFonts w:cs="Arial"/>
                <w:sz w:val="18"/>
                <w:szCs w:val="18"/>
                <w:lang w:val="pt-PT"/>
              </w:rPr>
              <w:t xml:space="preserve"> de execução dos sistemas a instalar</w:t>
            </w:r>
          </w:p>
          <w:p w:rsidR="00EC732D" w:rsidRPr="00873E92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551F85" w:rsidRDefault="00EC732D" w:rsidP="00551F85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551F85">
              <w:rPr>
                <w:rFonts w:ascii="Arial" w:hAnsi="Arial" w:cs="Arial"/>
                <w:sz w:val="18"/>
                <w:szCs w:val="18"/>
                <w:lang w:val="pt-PT"/>
              </w:rPr>
              <w:t>Aquisição e instalação de painéis solares térmicos em coberturas, fachadas ou logradouros, destinados ao aquecimento das águas sanitárias</w:t>
            </w:r>
            <w:r w:rsidR="005813E1">
              <w:rPr>
                <w:rFonts w:ascii="Arial" w:hAnsi="Arial" w:cs="Arial"/>
                <w:sz w:val="18"/>
                <w:szCs w:val="18"/>
                <w:lang w:val="pt-PT"/>
              </w:rPr>
              <w:t xml:space="preserve"> e climatização</w:t>
            </w:r>
            <w:r w:rsidRPr="00551F85">
              <w:rPr>
                <w:rFonts w:ascii="Arial" w:hAnsi="Arial" w:cs="Arial"/>
                <w:sz w:val="18"/>
                <w:szCs w:val="18"/>
                <w:lang w:val="pt-PT"/>
              </w:rPr>
              <w:t>.</w:t>
            </w:r>
          </w:p>
          <w:p w:rsidR="00EC732D" w:rsidRPr="006235D6" w:rsidRDefault="00EC732D" w:rsidP="00282C41">
            <w:pPr>
              <w:pStyle w:val="PargrafodaLista"/>
              <w:rPr>
                <w:rFonts w:cs="Arial"/>
                <w:sz w:val="18"/>
                <w:szCs w:val="18"/>
                <w:lang w:val="pt-PT"/>
              </w:rPr>
            </w:pPr>
          </w:p>
        </w:tc>
      </w:tr>
      <w:tr w:rsidR="00EC732D" w:rsidRPr="00873E92" w:rsidTr="00A05769">
        <w:trPr>
          <w:trHeight w:val="1342"/>
          <w:jc w:val="center"/>
        </w:trPr>
        <w:tc>
          <w:tcPr>
            <w:tcW w:w="53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32D" w:rsidRPr="00551F85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32D" w:rsidRPr="00EC732D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EC732D">
              <w:rPr>
                <w:rFonts w:cs="Arial"/>
                <w:b/>
                <w:sz w:val="18"/>
                <w:szCs w:val="18"/>
                <w:lang w:val="pt-PT"/>
              </w:rPr>
              <w:t xml:space="preserve">Custos Padrão por Tecnologias aplicáveis: 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Sim, para a(s) tipologia(s) de intervenção previstas no Anexo II do Aviso: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EC732D">
              <w:rPr>
                <w:rFonts w:cs="Arial"/>
                <w:sz w:val="18"/>
                <w:szCs w:val="18"/>
                <w:lang w:val="pt-PT"/>
              </w:rPr>
              <w:t>“Aquecimento de águas sanitárias (AQS)</w:t>
            </w:r>
            <w:r>
              <w:rPr>
                <w:rFonts w:cs="Arial"/>
                <w:sz w:val="18"/>
                <w:szCs w:val="18"/>
                <w:lang w:val="pt-PT"/>
              </w:rPr>
              <w:t xml:space="preserve">”, cuja solução técnica se enquadre </w:t>
            </w:r>
            <w:r w:rsidRPr="00EC732D">
              <w:rPr>
                <w:rFonts w:cs="Arial"/>
                <w:sz w:val="18"/>
                <w:szCs w:val="18"/>
                <w:lang w:val="pt-PT"/>
              </w:rPr>
              <w:t>em “</w:t>
            </w:r>
            <w:r w:rsidRPr="00EC732D">
              <w:rPr>
                <w:sz w:val="18"/>
                <w:szCs w:val="18"/>
                <w:lang w:val="pt-PT"/>
              </w:rPr>
              <w:t>Sistema solar de circulação forçada”</w:t>
            </w:r>
          </w:p>
        </w:tc>
      </w:tr>
      <w:tr w:rsidR="00EC732D" w:rsidRPr="00873E92" w:rsidTr="00A05769">
        <w:trPr>
          <w:trHeight w:val="2070"/>
          <w:jc w:val="center"/>
        </w:trPr>
        <w:tc>
          <w:tcPr>
            <w:tcW w:w="53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732D" w:rsidRDefault="00C575D7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 xml:space="preserve">ii) </w:t>
            </w:r>
            <w:r w:rsidR="00EC732D" w:rsidRPr="00873E92">
              <w:rPr>
                <w:rFonts w:cs="Arial"/>
                <w:sz w:val="18"/>
                <w:szCs w:val="18"/>
                <w:lang w:val="pt-PT"/>
              </w:rPr>
              <w:t>Instalação de sistemas de produção de energia para autoconsumo a partir de fontes de energia renovável.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1407FE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1407FE">
              <w:rPr>
                <w:rFonts w:cs="Arial"/>
                <w:b/>
                <w:sz w:val="18"/>
                <w:szCs w:val="18"/>
                <w:lang w:val="pt-PT"/>
              </w:rPr>
              <w:t>Requisitos: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B35B93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B35B93">
              <w:rPr>
                <w:rFonts w:cs="Arial"/>
                <w:sz w:val="18"/>
                <w:szCs w:val="18"/>
                <w:lang w:val="pt-PT"/>
              </w:rPr>
              <w:t>A intervenção deverá cumprir com os requisitos do Decreto-Lei n.º 153/2014 de 20 de outubro;</w:t>
            </w:r>
          </w:p>
          <w:p w:rsidR="00EC732D" w:rsidRPr="00B35B93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B35B93" w:rsidRDefault="00F308A8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B35B93">
              <w:rPr>
                <w:rFonts w:cs="Arial"/>
                <w:sz w:val="18"/>
                <w:szCs w:val="18"/>
                <w:lang w:val="pt-PT"/>
              </w:rPr>
              <w:t>Painéis</w:t>
            </w:r>
            <w:r w:rsidR="00EC732D" w:rsidRPr="00B35B93">
              <w:rPr>
                <w:rFonts w:cs="Arial"/>
                <w:sz w:val="18"/>
                <w:szCs w:val="18"/>
                <w:lang w:val="pt-PT"/>
              </w:rPr>
              <w:t>/sistemas com certificado Solar Keymark</w:t>
            </w:r>
          </w:p>
          <w:p w:rsidR="00EC732D" w:rsidRPr="00B35B93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F308A8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B35B93">
              <w:rPr>
                <w:rFonts w:cs="Arial"/>
                <w:sz w:val="18"/>
                <w:szCs w:val="18"/>
                <w:lang w:val="pt-PT"/>
              </w:rPr>
              <w:t>Projeto</w:t>
            </w:r>
            <w:r w:rsidR="00EC732D" w:rsidRPr="00B35B93">
              <w:rPr>
                <w:rFonts w:cs="Arial"/>
                <w:sz w:val="18"/>
                <w:szCs w:val="18"/>
                <w:lang w:val="pt-PT"/>
              </w:rPr>
              <w:t xml:space="preserve"> de execução dos sistemas a instalar</w:t>
            </w:r>
          </w:p>
          <w:p w:rsidR="00EC732D" w:rsidRPr="00873E92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6235D6" w:rsidRDefault="00EC732D" w:rsidP="00551F85">
            <w:pPr>
              <w:pStyle w:val="PargrafodaLista"/>
              <w:numPr>
                <w:ilvl w:val="0"/>
                <w:numId w:val="7"/>
              </w:numPr>
              <w:rPr>
                <w:rFonts w:cs="Arial"/>
                <w:sz w:val="18"/>
                <w:szCs w:val="18"/>
                <w:lang w:val="pt-PT"/>
              </w:rPr>
            </w:pPr>
            <w:r w:rsidRPr="00551F85">
              <w:rPr>
                <w:rFonts w:ascii="Arial" w:hAnsi="Arial" w:cs="Arial"/>
                <w:sz w:val="18"/>
                <w:szCs w:val="18"/>
                <w:lang w:val="pt-PT"/>
              </w:rPr>
              <w:t>Aquisição e instalação de unidades de produção para autoconsumo baseadas em tecnologias de produção renováveis, a instalar na cobertura, fachada, interior ou logradouro do edifício, que permitam uma associação a cada fração do edifício (se aplicável), bem como às partes comuns, permitindo o consumo de energia em cada uma dessas partes do edifício.</w:t>
            </w:r>
          </w:p>
          <w:p w:rsidR="00551F85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551F85">
              <w:rPr>
                <w:rFonts w:cs="Arial"/>
                <w:b/>
                <w:sz w:val="18"/>
                <w:szCs w:val="18"/>
                <w:lang w:val="pt-PT"/>
              </w:rPr>
              <w:t>Exemplos:</w:t>
            </w:r>
          </w:p>
          <w:p w:rsidR="00551F85" w:rsidRDefault="00551F85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551F85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P</w:t>
            </w:r>
            <w:r w:rsidR="00EC732D" w:rsidRPr="006235D6">
              <w:rPr>
                <w:rFonts w:cs="Arial"/>
                <w:sz w:val="18"/>
                <w:szCs w:val="18"/>
                <w:lang w:val="pt-PT"/>
              </w:rPr>
              <w:t>ainéis solares, aerogeradores, sistemas de produção de energia a partir de biomassa (como recuperadores de calor) entre outros sistemas e equipamentos de produção de energia a partir de fontes renováveis.</w:t>
            </w:r>
          </w:p>
          <w:p w:rsidR="00551F85" w:rsidRPr="006235D6" w:rsidRDefault="00551F85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6235D6">
              <w:rPr>
                <w:rFonts w:cs="Arial"/>
                <w:sz w:val="18"/>
                <w:szCs w:val="18"/>
                <w:lang w:val="pt-PT"/>
              </w:rPr>
              <w:t>A despesa elegível com investimento em produção de energia elétrica para autoconsumo a partir de fontes de energias renováveis está limitada a 30% do montante de investimento elegível da candidatura relativo às componentes de eficiência energética.</w:t>
            </w:r>
          </w:p>
          <w:p w:rsidR="00EC732D" w:rsidRPr="006235D6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</w:tr>
      <w:tr w:rsidR="00EC732D" w:rsidRPr="00873E92" w:rsidTr="00A342B8">
        <w:trPr>
          <w:trHeight w:val="974"/>
          <w:jc w:val="center"/>
        </w:trPr>
        <w:tc>
          <w:tcPr>
            <w:tcW w:w="53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32D" w:rsidRPr="00282382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EC732D" w:rsidRPr="00EC732D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EC732D">
              <w:rPr>
                <w:rFonts w:cs="Arial"/>
                <w:b/>
                <w:sz w:val="18"/>
                <w:szCs w:val="18"/>
                <w:lang w:val="pt-PT"/>
              </w:rPr>
              <w:t xml:space="preserve">Custos Padrão por Tecnologias aplicáveis: 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Sim, para a(s) tipologia(s) de intervenção previstas no Anexo II do Aviso: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 w:rsidRPr="00EC732D">
              <w:rPr>
                <w:rFonts w:cs="Arial"/>
                <w:sz w:val="18"/>
                <w:szCs w:val="18"/>
                <w:lang w:val="pt-PT"/>
              </w:rPr>
              <w:t>“Sistemas de produção de energia</w:t>
            </w:r>
            <w:r>
              <w:rPr>
                <w:rFonts w:cs="Arial"/>
                <w:sz w:val="18"/>
                <w:szCs w:val="18"/>
                <w:lang w:val="pt-PT"/>
              </w:rPr>
              <w:t>”</w:t>
            </w:r>
          </w:p>
        </w:tc>
      </w:tr>
    </w:tbl>
    <w:p w:rsidR="00B35B93" w:rsidRDefault="00B35B93"/>
    <w:tbl>
      <w:tblPr>
        <w:tblStyle w:val="Tabelacomgrelha2"/>
        <w:tblW w:w="14170" w:type="dxa"/>
        <w:jc w:val="center"/>
        <w:tblLayout w:type="fixed"/>
        <w:tblLook w:val="04A0"/>
      </w:tblPr>
      <w:tblGrid>
        <w:gridCol w:w="5382"/>
        <w:gridCol w:w="8788"/>
      </w:tblGrid>
      <w:tr w:rsidR="00A342B8" w:rsidRPr="00873E92" w:rsidTr="00807D28">
        <w:trPr>
          <w:trHeight w:val="20"/>
          <w:jc w:val="center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D9E2F3" w:themeFill="accent5" w:themeFillTint="33"/>
            <w:vAlign w:val="center"/>
          </w:tcPr>
          <w:p w:rsidR="00A342B8" w:rsidRPr="00873E92" w:rsidRDefault="00A342B8" w:rsidP="00AD2D32">
            <w:pPr>
              <w:spacing w:before="60" w:after="60"/>
              <w:ind w:left="0"/>
              <w:jc w:val="center"/>
              <w:rPr>
                <w:rFonts w:eastAsia="Calibri" w:cs="Arial"/>
                <w:b/>
                <w:spacing w:val="0"/>
                <w:szCs w:val="18"/>
                <w:lang w:val="pt-PT"/>
              </w:rPr>
            </w:pPr>
            <w:r>
              <w:rPr>
                <w:rFonts w:eastAsia="Calibri" w:cs="Arial"/>
                <w:b/>
                <w:spacing w:val="0"/>
                <w:szCs w:val="18"/>
                <w:lang w:val="pt-PT"/>
              </w:rPr>
              <w:t>Requisitos das m</w:t>
            </w:r>
            <w:r w:rsidRPr="00873E92">
              <w:rPr>
                <w:rFonts w:eastAsia="Calibri" w:cs="Arial"/>
                <w:b/>
                <w:spacing w:val="0"/>
                <w:szCs w:val="18"/>
                <w:lang w:val="pt-PT"/>
              </w:rPr>
              <w:t>edidas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A342B8" w:rsidRPr="00873E92" w:rsidRDefault="00A342B8" w:rsidP="00AD2D32">
            <w:pPr>
              <w:spacing w:before="60" w:after="60"/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  <w:lang w:val="pt-PT"/>
              </w:rPr>
            </w:pPr>
            <w:r>
              <w:rPr>
                <w:rFonts w:eastAsia="Calibri" w:cs="Arial"/>
                <w:b/>
                <w:spacing w:val="0"/>
                <w:sz w:val="18"/>
                <w:szCs w:val="18"/>
                <w:lang w:val="pt-PT"/>
              </w:rPr>
              <w:t>Despesas Elegíveis</w:t>
            </w:r>
          </w:p>
        </w:tc>
      </w:tr>
      <w:tr w:rsidR="00723212" w:rsidRPr="00873E92" w:rsidTr="00CB70CF">
        <w:trPr>
          <w:trHeight w:val="20"/>
          <w:jc w:val="center"/>
        </w:trPr>
        <w:tc>
          <w:tcPr>
            <w:tcW w:w="14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723212" w:rsidRPr="00331307" w:rsidRDefault="00723212" w:rsidP="00723212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331307">
              <w:rPr>
                <w:rFonts w:cs="Arial"/>
                <w:b/>
                <w:sz w:val="18"/>
                <w:szCs w:val="18"/>
                <w:lang w:val="pt-PT"/>
              </w:rPr>
              <w:t>c) Intervenções nos sistemas de iluminação pública, sistemas semafóricos e sistemas de iluminação decorativa, tais como monumentos, jardins, entre outros, com o objetivo de reduzir os consumos de energia, através da instalação de sistemas e tecnologias mais eficientes, assim como pela introdução de sistemas de gestão capazes de potenciar reduções do consumo de energia elétrica associado a estes sistemas.</w:t>
            </w:r>
          </w:p>
          <w:p w:rsidR="00723212" w:rsidRPr="00873E92" w:rsidRDefault="00723212" w:rsidP="00CB70CF">
            <w:pPr>
              <w:ind w:left="0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  <w:r w:rsidRPr="00331307">
              <w:rPr>
                <w:rFonts w:cs="Arial"/>
                <w:sz w:val="18"/>
                <w:szCs w:val="18"/>
                <w:lang w:val="pt-PT"/>
              </w:rPr>
              <w:t>(tipologia de operação: alínea c) do ponto 2.1 do Aviso)</w:t>
            </w:r>
          </w:p>
        </w:tc>
      </w:tr>
      <w:tr w:rsidR="00723212" w:rsidRPr="00873E92" w:rsidTr="00CB70CF">
        <w:trPr>
          <w:trHeight w:val="20"/>
          <w:jc w:val="center"/>
        </w:trPr>
        <w:tc>
          <w:tcPr>
            <w:tcW w:w="14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tbl>
            <w:tblPr>
              <w:tblStyle w:val="Tabelacomgrelha2"/>
              <w:tblW w:w="14170" w:type="dxa"/>
              <w:jc w:val="center"/>
              <w:tblLayout w:type="fixed"/>
              <w:tblLook w:val="04A0"/>
            </w:tblPr>
            <w:tblGrid>
              <w:gridCol w:w="5382"/>
              <w:gridCol w:w="8788"/>
            </w:tblGrid>
            <w:tr w:rsidR="000379E7" w:rsidRPr="00156787" w:rsidTr="00807D28">
              <w:trPr>
                <w:trHeight w:val="20"/>
                <w:jc w:val="center"/>
              </w:trPr>
              <w:tc>
                <w:tcPr>
                  <w:tcW w:w="5382" w:type="dxa"/>
                  <w:vMerge w:val="restart"/>
                  <w:tcBorders>
                    <w:top w:val="single" w:sz="4" w:space="0" w:color="auto"/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Default="000379E7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</w:p>
                <w:p w:rsidR="000379E7" w:rsidRPr="001407FE" w:rsidRDefault="000379E7" w:rsidP="00CB70CF">
                  <w:pPr>
                    <w:ind w:left="0"/>
                    <w:rPr>
                      <w:rFonts w:cs="Arial"/>
                      <w:b/>
                      <w:sz w:val="18"/>
                      <w:szCs w:val="18"/>
                      <w:lang w:val="pt-PT"/>
                    </w:rPr>
                  </w:pPr>
                  <w:r w:rsidRPr="001407FE">
                    <w:rPr>
                      <w:rFonts w:cs="Arial"/>
                      <w:b/>
                      <w:sz w:val="18"/>
                      <w:szCs w:val="18"/>
                      <w:lang w:val="pt-PT"/>
                    </w:rPr>
                    <w:t>Requisitos:</w:t>
                  </w:r>
                </w:p>
                <w:p w:rsidR="000379E7" w:rsidRDefault="000379E7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</w:p>
                <w:p w:rsidR="000379E7" w:rsidRPr="00F308A8" w:rsidRDefault="000379E7" w:rsidP="00CB70CF">
                  <w:pPr>
                    <w:ind w:left="0"/>
                    <w:rPr>
                      <w:rFonts w:cs="Arial"/>
                      <w:b/>
                      <w:sz w:val="18"/>
                      <w:szCs w:val="18"/>
                      <w:lang w:val="pt-PT"/>
                    </w:rPr>
                  </w:pPr>
                  <w:r w:rsidRPr="00F308A8">
                    <w:rPr>
                      <w:rFonts w:cs="Arial"/>
                      <w:b/>
                      <w:sz w:val="18"/>
                      <w:szCs w:val="18"/>
                      <w:lang w:val="pt-PT"/>
                    </w:rPr>
                    <w:t>Iluminação Pública e decorativa:</w:t>
                  </w:r>
                </w:p>
                <w:p w:rsidR="00387F0C" w:rsidRDefault="00387F0C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pt-PT"/>
                    </w:rPr>
                    <w:t>O</w:t>
                  </w:r>
                  <w:r w:rsidRPr="00387F0C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bedecer aos </w:t>
                  </w:r>
                  <w:r w:rsidR="00AD2D32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parâmetros </w:t>
                  </w:r>
                  <w:r w:rsidR="00A66F90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de referência </w:t>
                  </w:r>
                  <w:r w:rsidR="00AD2D32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estabelecidos </w:t>
                  </w:r>
                  <w:r w:rsidR="00A66F90">
                    <w:rPr>
                      <w:rFonts w:cs="Arial"/>
                      <w:sz w:val="18"/>
                      <w:szCs w:val="18"/>
                      <w:lang w:val="pt-PT"/>
                    </w:rPr>
                    <w:t>pela DGEG</w:t>
                  </w:r>
                  <w:r w:rsidR="00282C41">
                    <w:rPr>
                      <w:rFonts w:cs="Arial"/>
                      <w:sz w:val="18"/>
                      <w:szCs w:val="18"/>
                      <w:lang w:val="pt-PT"/>
                    </w:rPr>
                    <w:t>;</w:t>
                  </w:r>
                  <w:r w:rsidR="00A66F90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 </w:t>
                  </w:r>
                </w:p>
                <w:p w:rsidR="00A66F90" w:rsidRDefault="00A66F90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</w:p>
                <w:p w:rsidR="000379E7" w:rsidRPr="004D50CF" w:rsidRDefault="000379E7" w:rsidP="00CB70CF">
                  <w:pPr>
                    <w:ind w:left="0"/>
                    <w:rPr>
                      <w:sz w:val="18"/>
                      <w:szCs w:val="18"/>
                      <w:lang w:val="pt-PT"/>
                    </w:rPr>
                  </w:pPr>
                  <w:r w:rsidRPr="004D50CF">
                    <w:rPr>
                      <w:rFonts w:cs="Arial"/>
                      <w:sz w:val="18"/>
                      <w:szCs w:val="18"/>
                      <w:lang w:val="pt-PT"/>
                    </w:rPr>
                    <w:t>Cumpri</w:t>
                  </w:r>
                  <w:r w:rsidR="00282C41">
                    <w:rPr>
                      <w:rFonts w:cs="Arial"/>
                      <w:sz w:val="18"/>
                      <w:szCs w:val="18"/>
                      <w:lang w:val="pt-PT"/>
                    </w:rPr>
                    <w:t>r</w:t>
                  </w:r>
                  <w:r w:rsidRPr="004D50CF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 </w:t>
                  </w:r>
                  <w:r w:rsidR="00282C41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com </w:t>
                  </w:r>
                  <w:r w:rsidRPr="004D50CF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os requisitos </w:t>
                  </w:r>
                  <w:r w:rsidR="00792198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constantes no documento </w:t>
                  </w:r>
                  <w:r w:rsidR="00792198" w:rsidRPr="004D50CF">
                    <w:rPr>
                      <w:sz w:val="18"/>
                      <w:szCs w:val="18"/>
                      <w:lang w:val="pt-PT"/>
                    </w:rPr>
                    <w:t>DMA-C71-111/N</w:t>
                  </w:r>
                  <w:r w:rsidR="00792198" w:rsidRPr="004D50CF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 </w:t>
                  </w:r>
                  <w:r w:rsidR="00792198">
                    <w:rPr>
                      <w:rFonts w:cs="Arial"/>
                      <w:sz w:val="18"/>
                      <w:szCs w:val="18"/>
                      <w:lang w:val="pt-PT"/>
                    </w:rPr>
                    <w:t xml:space="preserve">relativo </w:t>
                  </w:r>
                  <w:r w:rsidR="00792198" w:rsidRPr="004D50CF">
                    <w:rPr>
                      <w:sz w:val="18"/>
                      <w:szCs w:val="18"/>
                      <w:lang w:val="pt-PT"/>
                    </w:rPr>
                    <w:t xml:space="preserve">aparelhos de iluminação elétrica e acessórios (luminárias de iluminação pública: tecnologia LED) </w:t>
                  </w:r>
                  <w:r w:rsidRPr="004D50CF">
                    <w:rPr>
                      <w:rFonts w:cs="Arial"/>
                      <w:sz w:val="18"/>
                      <w:szCs w:val="18"/>
                      <w:lang w:val="pt-PT"/>
                    </w:rPr>
                    <w:t>estabelecidos pela EDP Distribuição</w:t>
                  </w:r>
                  <w:r w:rsidR="00282C41">
                    <w:rPr>
                      <w:sz w:val="18"/>
                      <w:szCs w:val="18"/>
                      <w:lang w:val="pt-PT"/>
                    </w:rPr>
                    <w:t>.</w:t>
                  </w:r>
                </w:p>
                <w:p w:rsidR="000379E7" w:rsidRDefault="000379E7" w:rsidP="00CB70CF">
                  <w:pPr>
                    <w:ind w:left="0"/>
                    <w:rPr>
                      <w:lang w:val="pt-PT"/>
                    </w:rPr>
                  </w:pPr>
                </w:p>
                <w:p w:rsidR="000379E7" w:rsidRPr="00A66F90" w:rsidRDefault="000379E7" w:rsidP="00CB70CF">
                  <w:pPr>
                    <w:ind w:left="0"/>
                    <w:rPr>
                      <w:sz w:val="18"/>
                      <w:szCs w:val="18"/>
                      <w:lang w:val="pt-PT"/>
                    </w:rPr>
                  </w:pPr>
                  <w:r w:rsidRPr="00A66F90">
                    <w:rPr>
                      <w:b/>
                      <w:sz w:val="18"/>
                      <w:szCs w:val="18"/>
                      <w:lang w:val="pt-PT"/>
                    </w:rPr>
                    <w:t>Semáforos</w:t>
                  </w:r>
                  <w:r w:rsidRPr="00A66F90">
                    <w:rPr>
                      <w:sz w:val="18"/>
                      <w:szCs w:val="18"/>
                      <w:lang w:val="pt-PT"/>
                    </w:rPr>
                    <w:t>:</w:t>
                  </w:r>
                </w:p>
                <w:p w:rsidR="000379E7" w:rsidRDefault="000379E7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</w:p>
                <w:p w:rsidR="000379E7" w:rsidRDefault="000379E7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pt-PT"/>
                    </w:rPr>
                    <w:t>Conformidade com as normas EN 60598-2-1996/EN 50081-1:92/EN 50082-1:92, na sua versão atual;</w:t>
                  </w:r>
                </w:p>
                <w:p w:rsidR="000379E7" w:rsidRDefault="000379E7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</w:p>
                <w:p w:rsidR="000379E7" w:rsidRDefault="000379E7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pt-PT"/>
                    </w:rPr>
                    <w:t>Cumprimento das Diretivas Comunitárias de baixa tensão (73/23/EEC) e compatibilidade eletromagnética (89/336/EEC)</w:t>
                  </w:r>
                </w:p>
                <w:p w:rsidR="000379E7" w:rsidRDefault="000379E7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</w:p>
                <w:p w:rsidR="000379E7" w:rsidRDefault="000379E7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  <w:r>
                    <w:rPr>
                      <w:rFonts w:cs="Arial"/>
                      <w:sz w:val="18"/>
                      <w:szCs w:val="18"/>
                      <w:lang w:val="pt-PT"/>
                    </w:rPr>
                    <w:t>Certificação de acordo com a EN 12368:2006, no que diz respeito a diâmetros de vidros normalizados, intensidade luminosa, distribuição da intensidade luminosa, uniformidade de iluminação, limites máximos para o efeito “fantasma”, croma</w:t>
                  </w:r>
                  <w:r w:rsidR="00F308A8">
                    <w:rPr>
                      <w:rFonts w:cs="Arial"/>
                      <w:sz w:val="18"/>
                      <w:szCs w:val="18"/>
                      <w:lang w:val="pt-PT"/>
                    </w:rPr>
                    <w:t>ti</w:t>
                  </w:r>
                  <w:r>
                    <w:rPr>
                      <w:rFonts w:cs="Arial"/>
                      <w:sz w:val="18"/>
                      <w:szCs w:val="18"/>
                      <w:lang w:val="pt-PT"/>
                    </w:rPr>
                    <w:t>cidade, temperatura ambiente e cor.</w:t>
                  </w:r>
                </w:p>
                <w:p w:rsidR="000379E7" w:rsidRPr="002F607F" w:rsidRDefault="000379E7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788" w:type="dxa"/>
                  <w:tcBorders>
                    <w:top w:val="single" w:sz="12" w:space="0" w:color="auto"/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Pr="00156787" w:rsidRDefault="000379E7" w:rsidP="00CB70CF">
                  <w:pPr>
                    <w:spacing w:before="60"/>
                    <w:ind w:left="0"/>
                    <w:rPr>
                      <w:rFonts w:cs="Arial"/>
                      <w:b/>
                      <w:spacing w:val="0"/>
                      <w:sz w:val="18"/>
                      <w:szCs w:val="18"/>
                      <w:lang w:val="pt-PT" w:eastAsia="pt-PT"/>
                    </w:rPr>
                  </w:pPr>
                </w:p>
              </w:tc>
            </w:tr>
            <w:tr w:rsidR="000379E7" w:rsidRPr="00156787" w:rsidTr="00807D28">
              <w:trPr>
                <w:trHeight w:val="20"/>
                <w:jc w:val="center"/>
              </w:trPr>
              <w:tc>
                <w:tcPr>
                  <w:tcW w:w="5382" w:type="dxa"/>
                  <w:vMerge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Pr="00156787" w:rsidRDefault="000379E7" w:rsidP="00CB70CF">
                  <w:pPr>
                    <w:ind w:left="0"/>
                    <w:jc w:val="center"/>
                    <w:rPr>
                      <w:rFonts w:cs="Arial"/>
                      <w:b/>
                      <w:spacing w:val="0"/>
                      <w:sz w:val="18"/>
                      <w:szCs w:val="18"/>
                      <w:lang w:val="pt-PT" w:eastAsia="pt-PT"/>
                    </w:rPr>
                  </w:pPr>
                </w:p>
              </w:tc>
              <w:tc>
                <w:tcPr>
                  <w:tcW w:w="8788" w:type="dxa"/>
                  <w:tcBorders>
                    <w:bottom w:val="nil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Default="000379E7" w:rsidP="00CB70CF">
                  <w:pPr>
                    <w:ind w:left="0"/>
                    <w:rPr>
                      <w:sz w:val="18"/>
                      <w:szCs w:val="18"/>
                      <w:lang w:val="pt-PT"/>
                    </w:rPr>
                  </w:pPr>
                </w:p>
                <w:p w:rsidR="00A342B8" w:rsidRDefault="00A342B8" w:rsidP="000379E7">
                  <w:pPr>
                    <w:pStyle w:val="PargrafodaLista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</w:pPr>
                  <w:r w:rsidRP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 xml:space="preserve">Despesas com a aquisição de </w:t>
                  </w:r>
                  <w:r w:rsidR="008814B1" w:rsidRP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lâ</w:t>
                  </w:r>
                  <w:r w:rsid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m</w:t>
                  </w:r>
                  <w:r w:rsidR="008814B1" w:rsidRP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 xml:space="preserve">padas e </w:t>
                  </w:r>
                  <w:r w:rsid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i</w:t>
                  </w:r>
                  <w:r w:rsidR="008814B1" w:rsidRP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luminárias utilizadas na iluminação pública</w:t>
                  </w:r>
                  <w:r w:rsid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 xml:space="preserve"> e decorativa, bem como nos sistemas semafóricos;</w:t>
                  </w:r>
                </w:p>
                <w:p w:rsidR="008814B1" w:rsidRPr="00807D28" w:rsidRDefault="008814B1" w:rsidP="008814B1">
                  <w:pPr>
                    <w:pStyle w:val="PargrafodaLista"/>
                    <w:numPr>
                      <w:ilvl w:val="0"/>
                      <w:numId w:val="7"/>
                    </w:numPr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Aquisição de sistemas de gestão</w:t>
                  </w:r>
                  <w:r w:rsidRPr="00807D28">
                    <w:rPr>
                      <w:lang w:val="pt-PT"/>
                    </w:rPr>
                    <w:t xml:space="preserve"> </w:t>
                  </w:r>
                  <w:r>
                    <w:rPr>
                      <w:lang w:val="pt-PT"/>
                    </w:rPr>
                    <w:t xml:space="preserve">que permitam reduzir </w:t>
                  </w:r>
                  <w:r w:rsidRP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o consumo de energia elétrica associa</w:t>
                  </w:r>
                  <w:bookmarkStart w:id="0" w:name="_GoBack"/>
                  <w:bookmarkEnd w:id="0"/>
                  <w:r w:rsidRP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do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 xml:space="preserve"> aos sistemas </w:t>
                  </w:r>
                  <w:r w:rsidRP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iluminação pública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 xml:space="preserve">, </w:t>
                  </w:r>
                  <w:r w:rsidRP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decorativa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 xml:space="preserve"> </w:t>
                  </w:r>
                  <w:r w:rsidRPr="008814B1"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e semafóricos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 w:eastAsia="pt-PT"/>
                    </w:rPr>
                    <w:t>.</w:t>
                  </w:r>
                </w:p>
                <w:p w:rsidR="00A342B8" w:rsidRPr="00807D28" w:rsidRDefault="000379E7" w:rsidP="000379E7">
                  <w:pPr>
                    <w:pStyle w:val="PargrafodaLista"/>
                    <w:numPr>
                      <w:ilvl w:val="0"/>
                      <w:numId w:val="7"/>
                    </w:numPr>
                    <w:rPr>
                      <w:rFonts w:cs="Arial"/>
                      <w:b/>
                      <w:sz w:val="18"/>
                      <w:szCs w:val="18"/>
                      <w:lang w:val="pt-PT" w:eastAsia="pt-PT"/>
                    </w:rPr>
                  </w:pPr>
                  <w:r w:rsidRPr="00551F85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Despesas com 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realização de auditorias e outros estudos energéticos </w:t>
                  </w:r>
                  <w:r w:rsidR="00E65AC8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necessárias à realização dos investimentos</w:t>
                  </w:r>
                </w:p>
                <w:p w:rsidR="000379E7" w:rsidRPr="00156787" w:rsidRDefault="00A342B8" w:rsidP="000379E7">
                  <w:pPr>
                    <w:pStyle w:val="PargrafodaLista"/>
                    <w:numPr>
                      <w:ilvl w:val="0"/>
                      <w:numId w:val="7"/>
                    </w:numPr>
                    <w:rPr>
                      <w:rFonts w:cs="Arial"/>
                      <w:b/>
                      <w:sz w:val="18"/>
                      <w:szCs w:val="18"/>
                      <w:lang w:val="pt-PT" w:eastAsia="pt-PT"/>
                    </w:rPr>
                  </w:pPr>
                  <w:r w:rsidRPr="00551F85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Despesas com a </w:t>
                  </w: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 xml:space="preserve">realização de auditorias e outros estudos energéticos </w:t>
                  </w:r>
                  <w:r w:rsidR="000379E7"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que permitam determinar as economias de energia a alcançar</w:t>
                  </w:r>
                </w:p>
              </w:tc>
            </w:tr>
            <w:tr w:rsidR="000379E7" w:rsidRPr="00F2425B" w:rsidTr="00807D28">
              <w:trPr>
                <w:trHeight w:val="20"/>
                <w:jc w:val="center"/>
              </w:trPr>
              <w:tc>
                <w:tcPr>
                  <w:tcW w:w="5382" w:type="dxa"/>
                  <w:vMerge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Pr="00156787" w:rsidRDefault="000379E7" w:rsidP="00CB70CF">
                  <w:pPr>
                    <w:ind w:left="0"/>
                    <w:jc w:val="center"/>
                    <w:rPr>
                      <w:rFonts w:cs="Arial"/>
                      <w:b/>
                      <w:spacing w:val="0"/>
                      <w:sz w:val="18"/>
                      <w:szCs w:val="18"/>
                      <w:lang w:val="pt-PT" w:eastAsia="pt-PT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Default="000379E7" w:rsidP="00CB70CF">
                  <w:pPr>
                    <w:ind w:left="0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  <w:p w:rsidR="000379E7" w:rsidRDefault="000379E7" w:rsidP="00CB70CF">
                  <w:pPr>
                    <w:ind w:left="0"/>
                    <w:rPr>
                      <w:sz w:val="18"/>
                      <w:szCs w:val="18"/>
                      <w:lang w:val="pt-PT"/>
                    </w:rPr>
                  </w:pPr>
                  <w:r w:rsidRPr="005221E3">
                    <w:rPr>
                      <w:b/>
                      <w:sz w:val="18"/>
                      <w:szCs w:val="18"/>
                      <w:lang w:val="pt-PT"/>
                    </w:rPr>
                    <w:t>Exemplos de operações não elegíveis (não exaustivo):</w:t>
                  </w:r>
                </w:p>
                <w:p w:rsidR="000379E7" w:rsidRDefault="000379E7" w:rsidP="00CB70CF">
                  <w:pPr>
                    <w:ind w:left="0"/>
                    <w:rPr>
                      <w:sz w:val="18"/>
                      <w:szCs w:val="18"/>
                      <w:lang w:val="pt-PT"/>
                    </w:rPr>
                  </w:pPr>
                </w:p>
                <w:p w:rsidR="000379E7" w:rsidRPr="002F607F" w:rsidRDefault="00792198" w:rsidP="000379E7">
                  <w:pPr>
                    <w:pStyle w:val="PargrafodaLista"/>
                    <w:numPr>
                      <w:ilvl w:val="0"/>
                      <w:numId w:val="7"/>
                    </w:numPr>
                    <w:rPr>
                      <w:rFonts w:cs="Arial"/>
                      <w:b/>
                      <w:sz w:val="18"/>
                      <w:szCs w:val="18"/>
                      <w:lang w:val="pt-PT" w:eastAsia="pt-PT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  <w:lang w:val="pt-PT"/>
                    </w:rPr>
                    <w:t>Redes elétricas associadas às instalações de iluminação pública</w:t>
                  </w:r>
                </w:p>
                <w:p w:rsidR="000379E7" w:rsidRPr="00F2425B" w:rsidRDefault="000379E7" w:rsidP="00CB70CF">
                  <w:pPr>
                    <w:ind w:left="360"/>
                    <w:rPr>
                      <w:rFonts w:cs="Arial"/>
                      <w:b/>
                      <w:sz w:val="18"/>
                      <w:szCs w:val="18"/>
                      <w:lang w:val="pt-PT" w:eastAsia="pt-PT"/>
                    </w:rPr>
                  </w:pPr>
                </w:p>
              </w:tc>
            </w:tr>
            <w:tr w:rsidR="000379E7" w:rsidRPr="00156787" w:rsidTr="00807D28">
              <w:trPr>
                <w:trHeight w:val="20"/>
                <w:jc w:val="center"/>
              </w:trPr>
              <w:tc>
                <w:tcPr>
                  <w:tcW w:w="5382" w:type="dxa"/>
                  <w:vMerge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Pr="00873E92" w:rsidRDefault="000379E7" w:rsidP="00CB70CF">
                  <w:pPr>
                    <w:ind w:left="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</w:p>
              </w:tc>
              <w:tc>
                <w:tcPr>
                  <w:tcW w:w="8788" w:type="dxa"/>
                  <w:tcBorders>
                    <w:bottom w:val="single" w:sz="4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Pr="00EE5C6A" w:rsidRDefault="000379E7" w:rsidP="00CB70CF">
                  <w:pPr>
                    <w:spacing w:before="60"/>
                    <w:ind w:left="0"/>
                    <w:rPr>
                      <w:rFonts w:cs="Arial"/>
                      <w:b/>
                      <w:spacing w:val="0"/>
                      <w:sz w:val="18"/>
                      <w:szCs w:val="18"/>
                      <w:lang w:val="pt-PT" w:eastAsia="pt-PT"/>
                    </w:rPr>
                  </w:pPr>
                </w:p>
              </w:tc>
            </w:tr>
            <w:tr w:rsidR="000379E7" w:rsidRPr="00E135B9" w:rsidTr="00807D28">
              <w:trPr>
                <w:trHeight w:val="20"/>
                <w:jc w:val="center"/>
              </w:trPr>
              <w:tc>
                <w:tcPr>
                  <w:tcW w:w="5382" w:type="dxa"/>
                  <w:vMerge/>
                  <w:tcBorders>
                    <w:left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Pr="00156787" w:rsidRDefault="000379E7" w:rsidP="00CB70CF">
                  <w:pPr>
                    <w:ind w:left="0"/>
                    <w:jc w:val="center"/>
                    <w:rPr>
                      <w:rFonts w:cs="Arial"/>
                      <w:b/>
                      <w:spacing w:val="0"/>
                      <w:sz w:val="18"/>
                      <w:szCs w:val="18"/>
                      <w:lang w:val="pt-PT" w:eastAsia="pt-PT"/>
                    </w:rPr>
                  </w:pPr>
                </w:p>
              </w:tc>
              <w:tc>
                <w:tcPr>
                  <w:tcW w:w="8788" w:type="dxa"/>
                  <w:tcBorders>
                    <w:bottom w:val="nil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Default="000379E7" w:rsidP="00CB70CF">
                  <w:pPr>
                    <w:ind w:left="0"/>
                    <w:rPr>
                      <w:sz w:val="18"/>
                      <w:szCs w:val="18"/>
                      <w:lang w:val="pt-PT"/>
                    </w:rPr>
                  </w:pPr>
                </w:p>
                <w:p w:rsidR="000379E7" w:rsidRPr="00E135B9" w:rsidRDefault="000379E7" w:rsidP="00CB70CF">
                  <w:pPr>
                    <w:ind w:left="0"/>
                    <w:rPr>
                      <w:sz w:val="18"/>
                      <w:szCs w:val="18"/>
                      <w:lang w:val="pt-PT"/>
                    </w:rPr>
                  </w:pPr>
                </w:p>
              </w:tc>
            </w:tr>
            <w:tr w:rsidR="000379E7" w:rsidRPr="00E135B9" w:rsidTr="00807D28">
              <w:trPr>
                <w:trHeight w:val="20"/>
                <w:jc w:val="center"/>
              </w:trPr>
              <w:tc>
                <w:tcPr>
                  <w:tcW w:w="5382" w:type="dxa"/>
                  <w:vMerge/>
                  <w:tcBorders>
                    <w:left w:val="single" w:sz="4" w:space="0" w:color="auto"/>
                    <w:bottom w:val="single" w:sz="4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Pr="00156787" w:rsidRDefault="000379E7" w:rsidP="00CB70CF">
                  <w:pPr>
                    <w:ind w:left="0"/>
                    <w:jc w:val="center"/>
                    <w:rPr>
                      <w:rFonts w:cs="Arial"/>
                      <w:b/>
                      <w:spacing w:val="0"/>
                      <w:sz w:val="18"/>
                      <w:szCs w:val="18"/>
                      <w:lang w:val="pt-PT" w:eastAsia="pt-PT"/>
                    </w:rPr>
                  </w:pPr>
                </w:p>
              </w:tc>
              <w:tc>
                <w:tcPr>
                  <w:tcW w:w="8788" w:type="dxa"/>
                  <w:tcBorders>
                    <w:top w:val="nil"/>
                    <w:bottom w:val="single" w:sz="12" w:space="0" w:color="auto"/>
                    <w:right w:val="single" w:sz="12" w:space="0" w:color="auto"/>
                  </w:tcBorders>
                  <w:shd w:val="clear" w:color="auto" w:fill="FFFFFF" w:themeFill="background1"/>
                  <w:vAlign w:val="center"/>
                </w:tcPr>
                <w:p w:rsidR="000379E7" w:rsidRDefault="000379E7" w:rsidP="00CB70CF">
                  <w:pPr>
                    <w:ind w:left="0"/>
                    <w:jc w:val="center"/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  <w:p w:rsidR="00BF0876" w:rsidRDefault="00BF0876" w:rsidP="000212A3">
                  <w:pPr>
                    <w:ind w:left="360"/>
                    <w:rPr>
                      <w:b/>
                      <w:sz w:val="18"/>
                      <w:szCs w:val="18"/>
                      <w:lang w:val="pt-PT"/>
                    </w:rPr>
                  </w:pPr>
                  <w:r w:rsidRPr="000212A3">
                    <w:rPr>
                      <w:b/>
                      <w:sz w:val="18"/>
                      <w:szCs w:val="18"/>
                      <w:lang w:val="pt-PT"/>
                    </w:rPr>
                    <w:t>Custos Padrão por tecnologias aplicáveis</w:t>
                  </w:r>
                </w:p>
                <w:p w:rsidR="00387F0C" w:rsidRDefault="00387F0C" w:rsidP="000212A3">
                  <w:pPr>
                    <w:ind w:left="360"/>
                    <w:rPr>
                      <w:b/>
                      <w:sz w:val="18"/>
                      <w:szCs w:val="18"/>
                      <w:lang w:val="pt-PT"/>
                    </w:rPr>
                  </w:pPr>
                </w:p>
                <w:p w:rsidR="00387F0C" w:rsidRPr="00387F0C" w:rsidRDefault="00387F0C" w:rsidP="00387F0C">
                  <w:pPr>
                    <w:ind w:left="36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  <w:r w:rsidRPr="00387F0C">
                    <w:rPr>
                      <w:rFonts w:cs="Arial"/>
                      <w:sz w:val="18"/>
                      <w:szCs w:val="18"/>
                      <w:lang w:val="pt-PT"/>
                    </w:rPr>
                    <w:t>Sim, para a(s) tipologia(s) de intervenção previstas no Anexo II do Aviso:</w:t>
                  </w:r>
                </w:p>
                <w:p w:rsidR="00387F0C" w:rsidRPr="00387F0C" w:rsidRDefault="00387F0C" w:rsidP="00387F0C">
                  <w:pPr>
                    <w:ind w:left="36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</w:p>
                <w:p w:rsidR="00387F0C" w:rsidRPr="000212A3" w:rsidRDefault="00387F0C" w:rsidP="00387F0C">
                  <w:pPr>
                    <w:ind w:left="360"/>
                    <w:rPr>
                      <w:rFonts w:cs="Arial"/>
                      <w:sz w:val="18"/>
                      <w:szCs w:val="18"/>
                      <w:lang w:val="pt-PT"/>
                    </w:rPr>
                  </w:pPr>
                  <w:r w:rsidRPr="00387F0C">
                    <w:rPr>
                      <w:rFonts w:cs="Arial"/>
                      <w:sz w:val="18"/>
                      <w:szCs w:val="18"/>
                      <w:lang w:val="pt-PT"/>
                    </w:rPr>
                    <w:t>“Iluminação pública, decorativa e semáforos”</w:t>
                  </w:r>
                </w:p>
              </w:tc>
            </w:tr>
          </w:tbl>
          <w:p w:rsidR="00723212" w:rsidRPr="00807D28" w:rsidRDefault="00723212" w:rsidP="00723212">
            <w:pPr>
              <w:ind w:left="0"/>
              <w:rPr>
                <w:rFonts w:cs="Arial"/>
                <w:b/>
                <w:sz w:val="18"/>
                <w:szCs w:val="18"/>
                <w:highlight w:val="yellow"/>
                <w:lang w:val="pt-PT"/>
              </w:rPr>
            </w:pPr>
          </w:p>
        </w:tc>
      </w:tr>
    </w:tbl>
    <w:p w:rsidR="00B35B93" w:rsidRDefault="00B35B93">
      <w:pPr>
        <w:spacing w:after="160" w:line="259" w:lineRule="auto"/>
        <w:ind w:left="0"/>
      </w:pPr>
    </w:p>
    <w:p w:rsidR="00B35B93" w:rsidRDefault="00B35B93"/>
    <w:p w:rsidR="00807D28" w:rsidRDefault="00807D28"/>
    <w:p w:rsidR="00807D28" w:rsidRDefault="00807D28"/>
    <w:tbl>
      <w:tblPr>
        <w:tblStyle w:val="Tabelacomgrelha2"/>
        <w:tblW w:w="14170" w:type="dxa"/>
        <w:jc w:val="center"/>
        <w:tblLayout w:type="fixed"/>
        <w:tblLook w:val="04A0"/>
      </w:tblPr>
      <w:tblGrid>
        <w:gridCol w:w="5382"/>
        <w:gridCol w:w="8788"/>
      </w:tblGrid>
      <w:tr w:rsidR="00323A05" w:rsidRPr="00873E92" w:rsidTr="00A337BD">
        <w:trPr>
          <w:trHeight w:val="20"/>
          <w:jc w:val="center"/>
        </w:trPr>
        <w:tc>
          <w:tcPr>
            <w:tcW w:w="5382" w:type="dxa"/>
            <w:tcBorders>
              <w:top w:val="single" w:sz="12" w:space="0" w:color="auto"/>
              <w:left w:val="single" w:sz="12" w:space="0" w:color="auto"/>
            </w:tcBorders>
            <w:shd w:val="clear" w:color="auto" w:fill="D9E2F3" w:themeFill="accent5" w:themeFillTint="33"/>
            <w:vAlign w:val="center"/>
          </w:tcPr>
          <w:p w:rsidR="00323A05" w:rsidRPr="00873E92" w:rsidRDefault="00323A05" w:rsidP="00323A05">
            <w:pPr>
              <w:spacing w:before="60" w:after="60"/>
              <w:ind w:left="0"/>
              <w:jc w:val="center"/>
              <w:rPr>
                <w:rFonts w:eastAsia="Calibri" w:cs="Arial"/>
                <w:b/>
                <w:spacing w:val="0"/>
                <w:szCs w:val="18"/>
                <w:lang w:val="pt-PT"/>
              </w:rPr>
            </w:pPr>
            <w:r>
              <w:rPr>
                <w:rFonts w:eastAsia="Calibri" w:cs="Arial"/>
                <w:b/>
                <w:spacing w:val="0"/>
                <w:szCs w:val="18"/>
                <w:lang w:val="pt-PT"/>
              </w:rPr>
              <w:lastRenderedPageBreak/>
              <w:t>Requisitos das m</w:t>
            </w:r>
            <w:r w:rsidRPr="00873E92">
              <w:rPr>
                <w:rFonts w:eastAsia="Calibri" w:cs="Arial"/>
                <w:b/>
                <w:spacing w:val="0"/>
                <w:szCs w:val="18"/>
                <w:lang w:val="pt-PT"/>
              </w:rPr>
              <w:t>edidas</w:t>
            </w:r>
          </w:p>
        </w:tc>
        <w:tc>
          <w:tcPr>
            <w:tcW w:w="8788" w:type="dxa"/>
            <w:tcBorders>
              <w:top w:val="single" w:sz="12" w:space="0" w:color="auto"/>
              <w:right w:val="single" w:sz="12" w:space="0" w:color="auto"/>
            </w:tcBorders>
            <w:shd w:val="clear" w:color="auto" w:fill="D9E2F3" w:themeFill="accent5" w:themeFillTint="33"/>
            <w:vAlign w:val="center"/>
          </w:tcPr>
          <w:p w:rsidR="00323A05" w:rsidRPr="00873E92" w:rsidRDefault="00323A05" w:rsidP="00323A05">
            <w:pPr>
              <w:spacing w:before="60" w:after="60"/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  <w:lang w:val="pt-PT"/>
              </w:rPr>
            </w:pPr>
            <w:r>
              <w:rPr>
                <w:rFonts w:eastAsia="Calibri" w:cs="Arial"/>
                <w:b/>
                <w:spacing w:val="0"/>
                <w:sz w:val="18"/>
                <w:szCs w:val="18"/>
                <w:lang w:val="pt-PT"/>
              </w:rPr>
              <w:t>Despesas Elegíveis</w:t>
            </w:r>
          </w:p>
        </w:tc>
      </w:tr>
      <w:tr w:rsidR="00EC732D" w:rsidRPr="00873E92" w:rsidTr="00A05769">
        <w:trPr>
          <w:trHeight w:val="20"/>
          <w:jc w:val="center"/>
        </w:trPr>
        <w:tc>
          <w:tcPr>
            <w:tcW w:w="1417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7E6E6" w:themeFill="background2"/>
            <w:vAlign w:val="center"/>
          </w:tcPr>
          <w:p w:rsidR="00EC732D" w:rsidRPr="00156787" w:rsidRDefault="00723212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>
              <w:rPr>
                <w:rFonts w:cs="Arial"/>
                <w:b/>
                <w:sz w:val="18"/>
                <w:szCs w:val="18"/>
                <w:lang w:val="pt-PT"/>
              </w:rPr>
              <w:t>d</w:t>
            </w:r>
            <w:r w:rsidR="00EC732D" w:rsidRPr="00156787">
              <w:rPr>
                <w:rFonts w:cs="Arial"/>
                <w:b/>
                <w:sz w:val="18"/>
                <w:szCs w:val="18"/>
                <w:lang w:val="pt-PT"/>
              </w:rPr>
              <w:t xml:space="preserve">) Auditorias, diagnósticos e </w:t>
            </w:r>
            <w:r w:rsidR="005813E1">
              <w:rPr>
                <w:rFonts w:cs="Arial"/>
                <w:b/>
                <w:sz w:val="18"/>
                <w:szCs w:val="18"/>
                <w:lang w:val="pt-PT"/>
              </w:rPr>
              <w:t>outros trabalhos</w:t>
            </w:r>
            <w:r w:rsidR="00EC732D" w:rsidRPr="00156787">
              <w:rPr>
                <w:rFonts w:cs="Arial"/>
                <w:b/>
                <w:sz w:val="18"/>
                <w:szCs w:val="18"/>
                <w:lang w:val="pt-PT"/>
              </w:rPr>
              <w:t xml:space="preserve"> necessários à realização </w:t>
            </w:r>
            <w:r w:rsidR="005813E1" w:rsidRPr="00156787">
              <w:rPr>
                <w:rFonts w:cs="Arial"/>
                <w:b/>
                <w:sz w:val="18"/>
                <w:szCs w:val="18"/>
                <w:lang w:val="pt-PT"/>
              </w:rPr>
              <w:t>d</w:t>
            </w:r>
            <w:r w:rsidR="005813E1">
              <w:rPr>
                <w:rFonts w:cs="Arial"/>
                <w:b/>
                <w:sz w:val="18"/>
                <w:szCs w:val="18"/>
                <w:lang w:val="pt-PT"/>
              </w:rPr>
              <w:t>e</w:t>
            </w:r>
            <w:r w:rsidR="005813E1" w:rsidRPr="00156787">
              <w:rPr>
                <w:rFonts w:cs="Arial"/>
                <w:b/>
                <w:sz w:val="18"/>
                <w:szCs w:val="18"/>
                <w:lang w:val="pt-PT"/>
              </w:rPr>
              <w:t xml:space="preserve"> </w:t>
            </w:r>
            <w:r w:rsidR="00EC732D" w:rsidRPr="00156787">
              <w:rPr>
                <w:rFonts w:cs="Arial"/>
                <w:b/>
                <w:sz w:val="18"/>
                <w:szCs w:val="18"/>
                <w:lang w:val="pt-PT"/>
              </w:rPr>
              <w:t>investimentos, bem como a avaliação «ex-post» independente que permita a avaliação e o acompanhamento do desempenho e da eficiência energética do investimento</w:t>
            </w:r>
          </w:p>
          <w:p w:rsidR="00EC732D" w:rsidRPr="00156787" w:rsidRDefault="00EC732D" w:rsidP="00EC732D">
            <w:pPr>
              <w:ind w:left="0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(tipologia de o</w:t>
            </w:r>
            <w:r w:rsidRPr="00873E92">
              <w:rPr>
                <w:rFonts w:cs="Arial"/>
                <w:sz w:val="18"/>
                <w:szCs w:val="18"/>
                <w:lang w:val="pt-PT"/>
              </w:rPr>
              <w:t>peração</w:t>
            </w:r>
            <w:r w:rsidR="00723212">
              <w:rPr>
                <w:rFonts w:cs="Arial"/>
                <w:sz w:val="18"/>
                <w:szCs w:val="18"/>
                <w:lang w:val="pt-PT"/>
              </w:rPr>
              <w:t>: alínea d</w:t>
            </w:r>
            <w:r>
              <w:rPr>
                <w:rFonts w:cs="Arial"/>
                <w:sz w:val="18"/>
                <w:szCs w:val="18"/>
                <w:lang w:val="pt-PT"/>
              </w:rPr>
              <w:t>) do ponto 2.1 do Aviso)</w:t>
            </w:r>
          </w:p>
        </w:tc>
      </w:tr>
      <w:tr w:rsidR="00EC732D" w:rsidRPr="00873E92" w:rsidTr="00A05769">
        <w:trPr>
          <w:trHeight w:val="20"/>
          <w:jc w:val="center"/>
        </w:trPr>
        <w:tc>
          <w:tcPr>
            <w:tcW w:w="5382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>Elaboração e emissão de certificado energético no âmbito do SCE, devidamente acompanhado do Relatório de Auditoria Energética, que caracterize o cenário de base e detalhe as medidas de eficiência energética que serão tidas em conta no âmbito da candidatura.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1407FE" w:rsidRDefault="00EC732D" w:rsidP="00EC732D">
            <w:pPr>
              <w:ind w:left="0"/>
              <w:rPr>
                <w:rFonts w:cs="Arial"/>
                <w:b/>
                <w:sz w:val="18"/>
                <w:szCs w:val="18"/>
                <w:lang w:val="pt-PT"/>
              </w:rPr>
            </w:pPr>
            <w:r w:rsidRPr="001407FE">
              <w:rPr>
                <w:rFonts w:cs="Arial"/>
                <w:b/>
                <w:sz w:val="18"/>
                <w:szCs w:val="18"/>
                <w:lang w:val="pt-PT"/>
              </w:rPr>
              <w:t>Requisitos:</w:t>
            </w:r>
          </w:p>
          <w:p w:rsidR="00EC732D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  <w:p w:rsidR="00EC732D" w:rsidRPr="001407FE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  <w:r>
              <w:rPr>
                <w:rFonts w:cs="Arial"/>
                <w:sz w:val="18"/>
                <w:szCs w:val="18"/>
                <w:lang w:val="pt-PT"/>
              </w:rPr>
              <w:t xml:space="preserve">No âmbito do Sistema de Certificação de Edifícios, </w:t>
            </w:r>
            <w:r w:rsidRPr="001407FE">
              <w:rPr>
                <w:rFonts w:cs="Arial"/>
                <w:sz w:val="18"/>
                <w:szCs w:val="18"/>
                <w:lang w:val="pt-PT"/>
              </w:rPr>
              <w:t>Decreto-Lei n.º 118/2013, de 20 de agosto, na sua mais recente redação.</w:t>
            </w:r>
          </w:p>
        </w:tc>
        <w:tc>
          <w:tcPr>
            <w:tcW w:w="8788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C732D" w:rsidRPr="00156787" w:rsidRDefault="00EC732D" w:rsidP="00EC732D">
            <w:pPr>
              <w:spacing w:before="60"/>
              <w:ind w:left="0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  <w:r w:rsidRPr="00156787">
              <w:rPr>
                <w:rFonts w:cs="Arial"/>
                <w:b/>
                <w:sz w:val="18"/>
                <w:szCs w:val="18"/>
                <w:lang w:val="pt-PT"/>
              </w:rPr>
              <w:t xml:space="preserve">Relativamente à avaliação </w:t>
            </w:r>
            <w:r w:rsidRPr="00156787">
              <w:rPr>
                <w:rFonts w:cs="Arial"/>
                <w:b/>
                <w:i/>
                <w:sz w:val="18"/>
                <w:szCs w:val="18"/>
                <w:lang w:val="pt-PT"/>
              </w:rPr>
              <w:t>“ex-ante”</w:t>
            </w:r>
          </w:p>
        </w:tc>
      </w:tr>
      <w:tr w:rsidR="00EC732D" w:rsidRPr="00873E92" w:rsidTr="00A05769">
        <w:trPr>
          <w:trHeight w:val="20"/>
          <w:jc w:val="center"/>
        </w:trPr>
        <w:tc>
          <w:tcPr>
            <w:tcW w:w="5382" w:type="dxa"/>
            <w:vMerge/>
            <w:tcBorders>
              <w:left w:val="single" w:sz="12" w:space="0" w:color="auto"/>
            </w:tcBorders>
            <w:vAlign w:val="center"/>
          </w:tcPr>
          <w:p w:rsidR="00EC732D" w:rsidRPr="00156787" w:rsidRDefault="00EC732D" w:rsidP="00EC732D">
            <w:pPr>
              <w:ind w:left="0"/>
              <w:jc w:val="center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</w:p>
        </w:tc>
        <w:tc>
          <w:tcPr>
            <w:tcW w:w="8788" w:type="dxa"/>
            <w:tcBorders>
              <w:bottom w:val="nil"/>
              <w:right w:val="single" w:sz="12" w:space="0" w:color="auto"/>
            </w:tcBorders>
            <w:vAlign w:val="center"/>
          </w:tcPr>
          <w:p w:rsidR="00EC732D" w:rsidRDefault="00EC732D" w:rsidP="00EC732D">
            <w:pPr>
              <w:ind w:left="0"/>
              <w:rPr>
                <w:sz w:val="18"/>
                <w:szCs w:val="18"/>
                <w:lang w:val="pt-PT"/>
              </w:rPr>
            </w:pPr>
          </w:p>
          <w:p w:rsidR="00EC732D" w:rsidRPr="00551F85" w:rsidRDefault="00EC732D" w:rsidP="00551F85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551F85">
              <w:rPr>
                <w:rFonts w:ascii="Arial" w:hAnsi="Arial" w:cs="Arial"/>
                <w:sz w:val="18"/>
                <w:szCs w:val="18"/>
                <w:lang w:val="pt-PT"/>
              </w:rPr>
              <w:t>Despesas com a atualização do certificado energético para o atual referencial (de 2016);</w:t>
            </w:r>
          </w:p>
          <w:p w:rsidR="00EC732D" w:rsidRPr="00156787" w:rsidRDefault="00EC732D" w:rsidP="00551F85">
            <w:pPr>
              <w:pStyle w:val="PargrafodaLista"/>
              <w:numPr>
                <w:ilvl w:val="0"/>
                <w:numId w:val="7"/>
              </w:numPr>
              <w:rPr>
                <w:rFonts w:cs="Arial"/>
                <w:b/>
                <w:sz w:val="18"/>
                <w:szCs w:val="18"/>
                <w:lang w:val="pt-PT" w:eastAsia="pt-PT"/>
              </w:rPr>
            </w:pPr>
            <w:r w:rsidRPr="00551F85">
              <w:rPr>
                <w:rFonts w:ascii="Arial" w:hAnsi="Arial" w:cs="Arial"/>
                <w:sz w:val="18"/>
                <w:szCs w:val="18"/>
                <w:lang w:val="pt-PT"/>
              </w:rPr>
              <w:t>Despesas com o processo de certificação energética nos casos em que não constitua uma obrigatoriedade legal para os edifícios a intervencionar.</w:t>
            </w:r>
          </w:p>
        </w:tc>
      </w:tr>
      <w:tr w:rsidR="00EC732D" w:rsidRPr="00873E92" w:rsidTr="00A05769">
        <w:trPr>
          <w:trHeight w:val="20"/>
          <w:jc w:val="center"/>
        </w:trPr>
        <w:tc>
          <w:tcPr>
            <w:tcW w:w="5382" w:type="dxa"/>
            <w:vMerge/>
            <w:tcBorders>
              <w:left w:val="single" w:sz="12" w:space="0" w:color="auto"/>
            </w:tcBorders>
            <w:vAlign w:val="center"/>
          </w:tcPr>
          <w:p w:rsidR="00EC732D" w:rsidRPr="00156787" w:rsidRDefault="00EC732D" w:rsidP="00EC732D">
            <w:pPr>
              <w:ind w:left="0"/>
              <w:jc w:val="center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</w:p>
        </w:tc>
        <w:tc>
          <w:tcPr>
            <w:tcW w:w="8788" w:type="dxa"/>
            <w:tcBorders>
              <w:top w:val="nil"/>
              <w:right w:val="single" w:sz="12" w:space="0" w:color="auto"/>
            </w:tcBorders>
            <w:vAlign w:val="center"/>
          </w:tcPr>
          <w:p w:rsidR="00EC732D" w:rsidRDefault="00EC732D" w:rsidP="00EC732D">
            <w:pPr>
              <w:ind w:left="0"/>
              <w:jc w:val="center"/>
              <w:rPr>
                <w:b/>
                <w:sz w:val="18"/>
                <w:szCs w:val="18"/>
                <w:lang w:val="pt-PT"/>
              </w:rPr>
            </w:pPr>
          </w:p>
          <w:p w:rsidR="00EC732D" w:rsidRDefault="005221E3" w:rsidP="00EC732D">
            <w:pPr>
              <w:ind w:left="0"/>
              <w:rPr>
                <w:sz w:val="18"/>
                <w:szCs w:val="18"/>
                <w:lang w:val="pt-PT"/>
              </w:rPr>
            </w:pPr>
            <w:r w:rsidRPr="005221E3">
              <w:rPr>
                <w:b/>
                <w:sz w:val="18"/>
                <w:szCs w:val="18"/>
                <w:lang w:val="pt-PT"/>
              </w:rPr>
              <w:t>Exemplos de operações não elegíveis (não exaustivo):</w:t>
            </w:r>
          </w:p>
          <w:p w:rsidR="00551F85" w:rsidRDefault="00551F85" w:rsidP="00EC732D">
            <w:pPr>
              <w:ind w:left="0"/>
              <w:rPr>
                <w:sz w:val="18"/>
                <w:szCs w:val="18"/>
                <w:lang w:val="pt-PT"/>
              </w:rPr>
            </w:pPr>
          </w:p>
          <w:p w:rsidR="00EC732D" w:rsidRPr="00156787" w:rsidRDefault="00EC732D" w:rsidP="00B35B93">
            <w:pPr>
              <w:pStyle w:val="PargrafodaLista"/>
              <w:numPr>
                <w:ilvl w:val="0"/>
                <w:numId w:val="7"/>
              </w:numPr>
              <w:rPr>
                <w:rFonts w:cs="Arial"/>
                <w:b/>
                <w:sz w:val="18"/>
                <w:szCs w:val="18"/>
                <w:lang w:val="pt-PT" w:eastAsia="pt-PT"/>
              </w:rPr>
            </w:pPr>
            <w:r w:rsidRPr="00551F85">
              <w:rPr>
                <w:rFonts w:ascii="Arial" w:hAnsi="Arial" w:cs="Arial"/>
                <w:sz w:val="18"/>
                <w:szCs w:val="18"/>
                <w:lang w:val="pt-PT"/>
              </w:rPr>
              <w:t>Despesas com o processo de certificação energética em que tal constitua uma obrigatoriedade legal para os edifícios a intervencionar.</w:t>
            </w:r>
          </w:p>
        </w:tc>
      </w:tr>
      <w:tr w:rsidR="00EC732D" w:rsidRPr="00873E92" w:rsidTr="00A05769">
        <w:trPr>
          <w:trHeight w:val="20"/>
          <w:jc w:val="center"/>
        </w:trPr>
        <w:tc>
          <w:tcPr>
            <w:tcW w:w="5382" w:type="dxa"/>
            <w:vMerge/>
            <w:tcBorders>
              <w:left w:val="single" w:sz="12" w:space="0" w:color="auto"/>
            </w:tcBorders>
            <w:vAlign w:val="center"/>
          </w:tcPr>
          <w:p w:rsidR="00EC732D" w:rsidRPr="00873E92" w:rsidRDefault="00EC732D" w:rsidP="00EC732D">
            <w:pPr>
              <w:ind w:left="0"/>
              <w:rPr>
                <w:rFonts w:cs="Arial"/>
                <w:sz w:val="18"/>
                <w:szCs w:val="18"/>
                <w:lang w:val="pt-PT"/>
              </w:rPr>
            </w:pPr>
          </w:p>
        </w:tc>
        <w:tc>
          <w:tcPr>
            <w:tcW w:w="8788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:rsidR="00EC732D" w:rsidRPr="00156787" w:rsidRDefault="00EC732D" w:rsidP="00EC732D">
            <w:pPr>
              <w:spacing w:before="60"/>
              <w:ind w:left="0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  <w:r w:rsidRPr="00156787">
              <w:rPr>
                <w:rFonts w:cs="Arial"/>
                <w:b/>
                <w:sz w:val="18"/>
                <w:szCs w:val="18"/>
                <w:lang w:val="pt-PT"/>
              </w:rPr>
              <w:t xml:space="preserve">Relativamente à avaliação </w:t>
            </w:r>
            <w:r w:rsidRPr="00156787">
              <w:rPr>
                <w:rFonts w:cs="Arial"/>
                <w:b/>
                <w:i/>
                <w:sz w:val="18"/>
                <w:szCs w:val="18"/>
                <w:lang w:val="pt-PT"/>
              </w:rPr>
              <w:t>“ex-post”</w:t>
            </w:r>
          </w:p>
        </w:tc>
      </w:tr>
      <w:tr w:rsidR="00EC732D" w:rsidRPr="00873E92" w:rsidTr="00A05769">
        <w:trPr>
          <w:trHeight w:val="20"/>
          <w:jc w:val="center"/>
        </w:trPr>
        <w:tc>
          <w:tcPr>
            <w:tcW w:w="5382" w:type="dxa"/>
            <w:vMerge/>
            <w:tcBorders>
              <w:left w:val="single" w:sz="12" w:space="0" w:color="auto"/>
            </w:tcBorders>
            <w:vAlign w:val="center"/>
          </w:tcPr>
          <w:p w:rsidR="00EC732D" w:rsidRPr="00156787" w:rsidRDefault="00EC732D" w:rsidP="00EC732D">
            <w:pPr>
              <w:ind w:left="0"/>
              <w:jc w:val="center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</w:p>
        </w:tc>
        <w:tc>
          <w:tcPr>
            <w:tcW w:w="8788" w:type="dxa"/>
            <w:tcBorders>
              <w:bottom w:val="nil"/>
              <w:right w:val="single" w:sz="12" w:space="0" w:color="auto"/>
            </w:tcBorders>
            <w:vAlign w:val="center"/>
          </w:tcPr>
          <w:p w:rsidR="00EC732D" w:rsidRDefault="00EC732D" w:rsidP="00EC732D">
            <w:pPr>
              <w:ind w:left="0"/>
              <w:rPr>
                <w:sz w:val="18"/>
                <w:szCs w:val="18"/>
                <w:lang w:val="pt-PT"/>
              </w:rPr>
            </w:pPr>
          </w:p>
          <w:p w:rsidR="00EC732D" w:rsidRPr="00551F85" w:rsidRDefault="00EC732D" w:rsidP="00551F85">
            <w:pPr>
              <w:pStyle w:val="PargrafodaLista"/>
              <w:numPr>
                <w:ilvl w:val="0"/>
                <w:numId w:val="7"/>
              </w:numPr>
              <w:rPr>
                <w:rFonts w:ascii="Arial" w:hAnsi="Arial" w:cs="Arial"/>
                <w:sz w:val="18"/>
                <w:szCs w:val="18"/>
                <w:lang w:val="pt-PT"/>
              </w:rPr>
            </w:pPr>
            <w:r w:rsidRPr="00551F85">
              <w:rPr>
                <w:rFonts w:ascii="Arial" w:hAnsi="Arial" w:cs="Arial"/>
                <w:sz w:val="18"/>
                <w:szCs w:val="18"/>
                <w:lang w:val="pt-PT"/>
              </w:rPr>
              <w:t>Despesas com a atualização do certificado energético para a situação após a conclusão da operação.</w:t>
            </w:r>
          </w:p>
          <w:p w:rsidR="00EC732D" w:rsidRPr="00E135B9" w:rsidRDefault="00EC732D" w:rsidP="00EC732D">
            <w:pPr>
              <w:ind w:left="0"/>
              <w:rPr>
                <w:sz w:val="18"/>
                <w:szCs w:val="18"/>
                <w:lang w:val="pt-PT"/>
              </w:rPr>
            </w:pPr>
          </w:p>
        </w:tc>
      </w:tr>
      <w:tr w:rsidR="00EC732D" w:rsidRPr="00873E92" w:rsidTr="00A05769">
        <w:trPr>
          <w:trHeight w:val="20"/>
          <w:jc w:val="center"/>
        </w:trPr>
        <w:tc>
          <w:tcPr>
            <w:tcW w:w="5382" w:type="dxa"/>
            <w:vMerge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EC732D" w:rsidRPr="00156787" w:rsidRDefault="00EC732D" w:rsidP="00EC732D">
            <w:pPr>
              <w:ind w:left="0"/>
              <w:jc w:val="center"/>
              <w:rPr>
                <w:rFonts w:cs="Arial"/>
                <w:b/>
                <w:spacing w:val="0"/>
                <w:sz w:val="18"/>
                <w:szCs w:val="18"/>
                <w:lang w:val="pt-PT" w:eastAsia="pt-PT"/>
              </w:rPr>
            </w:pPr>
          </w:p>
        </w:tc>
        <w:tc>
          <w:tcPr>
            <w:tcW w:w="8788" w:type="dxa"/>
            <w:tcBorders>
              <w:top w:val="nil"/>
              <w:bottom w:val="single" w:sz="12" w:space="0" w:color="auto"/>
              <w:right w:val="single" w:sz="12" w:space="0" w:color="auto"/>
            </w:tcBorders>
            <w:vAlign w:val="center"/>
          </w:tcPr>
          <w:p w:rsidR="00B35B93" w:rsidRDefault="00B35B93" w:rsidP="00EC732D">
            <w:pPr>
              <w:ind w:left="0"/>
              <w:rPr>
                <w:b/>
                <w:sz w:val="18"/>
                <w:szCs w:val="18"/>
                <w:lang w:val="pt-PT"/>
              </w:rPr>
            </w:pPr>
          </w:p>
          <w:p w:rsidR="00EC732D" w:rsidRDefault="005221E3" w:rsidP="00EC732D">
            <w:pPr>
              <w:ind w:left="0"/>
              <w:rPr>
                <w:b/>
                <w:sz w:val="18"/>
                <w:szCs w:val="18"/>
                <w:lang w:val="pt-PT"/>
              </w:rPr>
            </w:pPr>
            <w:r w:rsidRPr="005221E3">
              <w:rPr>
                <w:b/>
                <w:sz w:val="18"/>
                <w:szCs w:val="18"/>
                <w:lang w:val="pt-PT"/>
              </w:rPr>
              <w:t>Exemplos de operações não elegíveis (não exaustivo):</w:t>
            </w:r>
          </w:p>
          <w:p w:rsidR="00551F85" w:rsidRPr="00E135B9" w:rsidRDefault="00551F85" w:rsidP="00EC732D">
            <w:pPr>
              <w:ind w:left="0"/>
              <w:rPr>
                <w:b/>
                <w:sz w:val="18"/>
                <w:szCs w:val="18"/>
                <w:lang w:val="pt-PT"/>
              </w:rPr>
            </w:pPr>
          </w:p>
          <w:p w:rsidR="00EC732D" w:rsidRPr="00E135B9" w:rsidRDefault="00EC732D" w:rsidP="00B35B93">
            <w:pPr>
              <w:pStyle w:val="PargrafodaLista"/>
              <w:numPr>
                <w:ilvl w:val="0"/>
                <w:numId w:val="7"/>
              </w:numPr>
              <w:rPr>
                <w:sz w:val="18"/>
                <w:szCs w:val="18"/>
                <w:lang w:val="pt-PT"/>
              </w:rPr>
            </w:pPr>
            <w:r w:rsidRPr="00551F85">
              <w:rPr>
                <w:rFonts w:ascii="Arial" w:hAnsi="Arial" w:cs="Arial"/>
                <w:sz w:val="18"/>
                <w:szCs w:val="18"/>
                <w:lang w:val="pt-PT"/>
              </w:rPr>
              <w:t>Despesas com a atualização do certificado energético em que tal constitua uma obrigatoriedade legal para os edifícios a intervencionar (grande intervenção).</w:t>
            </w:r>
          </w:p>
        </w:tc>
      </w:tr>
    </w:tbl>
    <w:p w:rsidR="00505BC6" w:rsidRDefault="00505BC6">
      <w:pPr>
        <w:spacing w:after="160" w:line="259" w:lineRule="auto"/>
        <w:ind w:left="0"/>
        <w:rPr>
          <w:rFonts w:cs="Arial"/>
          <w:szCs w:val="22"/>
        </w:rPr>
      </w:pPr>
    </w:p>
    <w:p w:rsidR="003A3A9F" w:rsidRPr="003A3A9F" w:rsidRDefault="003A3A9F" w:rsidP="003A3A9F">
      <w:pPr>
        <w:widowControl w:val="0"/>
        <w:autoSpaceDE w:val="0"/>
        <w:autoSpaceDN w:val="0"/>
        <w:adjustRightInd w:val="0"/>
        <w:spacing w:after="120"/>
        <w:ind w:left="-284" w:right="-20"/>
        <w:jc w:val="both"/>
        <w:rPr>
          <w:rFonts w:cs="Arial"/>
          <w:szCs w:val="22"/>
        </w:rPr>
        <w:sectPr w:rsidR="003A3A9F" w:rsidRPr="003A3A9F" w:rsidSect="00B35B93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5840" w:h="12240" w:orient="landscape"/>
          <w:pgMar w:top="1701" w:right="1134" w:bottom="850" w:left="604" w:header="720" w:footer="604" w:gutter="0"/>
          <w:pgNumType w:start="1"/>
          <w:cols w:space="720"/>
          <w:noEndnote/>
          <w:docGrid w:linePitch="272"/>
        </w:sectPr>
      </w:pPr>
    </w:p>
    <w:p w:rsidR="0050142D" w:rsidRPr="00807D28" w:rsidRDefault="0050142D" w:rsidP="00505BC6">
      <w:pPr>
        <w:tabs>
          <w:tab w:val="left" w:pos="-2268"/>
        </w:tabs>
        <w:spacing w:line="360" w:lineRule="auto"/>
        <w:ind w:left="0"/>
        <w:jc w:val="center"/>
        <w:outlineLvl w:val="0"/>
        <w:rPr>
          <w:rFonts w:cs="Arial"/>
          <w:b/>
          <w:sz w:val="24"/>
          <w:szCs w:val="24"/>
        </w:rPr>
      </w:pPr>
      <w:r w:rsidRPr="00807D28">
        <w:rPr>
          <w:rFonts w:cs="Arial"/>
          <w:b/>
          <w:sz w:val="24"/>
          <w:szCs w:val="24"/>
        </w:rPr>
        <w:lastRenderedPageBreak/>
        <w:t xml:space="preserve">Anexo II </w:t>
      </w:r>
    </w:p>
    <w:p w:rsidR="00505BC6" w:rsidRPr="0050142D" w:rsidRDefault="00505BC6" w:rsidP="00505BC6">
      <w:pPr>
        <w:tabs>
          <w:tab w:val="left" w:pos="-2268"/>
        </w:tabs>
        <w:spacing w:line="360" w:lineRule="auto"/>
        <w:ind w:left="0"/>
        <w:jc w:val="center"/>
        <w:outlineLvl w:val="0"/>
        <w:rPr>
          <w:rFonts w:cs="Arial"/>
          <w:u w:val="single"/>
        </w:rPr>
      </w:pPr>
      <w:r w:rsidRPr="0050142D">
        <w:rPr>
          <w:rFonts w:cs="Arial"/>
          <w:bCs/>
          <w:u w:val="single"/>
        </w:rPr>
        <w:t>Custos-padrão máximos por tecnologia definidos pela DGEG</w:t>
      </w:r>
    </w:p>
    <w:p w:rsidR="00A05769" w:rsidRDefault="00A05769" w:rsidP="00505BC6">
      <w:pPr>
        <w:spacing w:after="200" w:line="260" w:lineRule="exact"/>
        <w:ind w:left="0"/>
        <w:jc w:val="center"/>
        <w:rPr>
          <w:rFonts w:cs="Arial"/>
          <w:b/>
          <w:spacing w:val="0"/>
          <w:sz w:val="22"/>
          <w:szCs w:val="22"/>
          <w:lang w:eastAsia="pt-PT"/>
        </w:rPr>
      </w:pPr>
    </w:p>
    <w:p w:rsidR="002F3713" w:rsidRDefault="002F3713" w:rsidP="00505BC6">
      <w:pPr>
        <w:spacing w:after="200" w:line="260" w:lineRule="exact"/>
        <w:ind w:left="0"/>
        <w:jc w:val="center"/>
        <w:rPr>
          <w:rFonts w:cs="Arial"/>
          <w:b/>
          <w:spacing w:val="0"/>
          <w:sz w:val="22"/>
          <w:szCs w:val="22"/>
          <w:lang w:eastAsia="pt-PT"/>
        </w:rPr>
      </w:pPr>
      <w:r w:rsidRPr="002F3713">
        <w:rPr>
          <w:rFonts w:cs="Arial"/>
          <w:b/>
          <w:spacing w:val="0"/>
          <w:sz w:val="22"/>
          <w:szCs w:val="22"/>
          <w:lang w:eastAsia="pt-PT"/>
        </w:rPr>
        <w:t xml:space="preserve">Os custos unitários máximos apresentados neste Anexo são </w:t>
      </w:r>
      <w:r w:rsidRPr="00807D28">
        <w:rPr>
          <w:rFonts w:cs="Arial"/>
          <w:b/>
          <w:spacing w:val="0"/>
          <w:sz w:val="22"/>
          <w:szCs w:val="22"/>
          <w:u w:val="single"/>
          <w:lang w:eastAsia="pt-PT"/>
        </w:rPr>
        <w:t>sem IVA</w:t>
      </w:r>
    </w:p>
    <w:p w:rsidR="002F3713" w:rsidRDefault="002F3713" w:rsidP="00505BC6">
      <w:pPr>
        <w:spacing w:after="200" w:line="260" w:lineRule="exact"/>
        <w:ind w:left="0"/>
        <w:jc w:val="center"/>
        <w:rPr>
          <w:rFonts w:cs="Arial"/>
          <w:b/>
          <w:spacing w:val="0"/>
          <w:sz w:val="22"/>
          <w:szCs w:val="22"/>
          <w:lang w:eastAsia="pt-PT"/>
        </w:rPr>
      </w:pPr>
    </w:p>
    <w:p w:rsidR="00505BC6" w:rsidRPr="0050142D" w:rsidRDefault="00505BC6" w:rsidP="00505BC6">
      <w:pPr>
        <w:spacing w:after="200" w:line="260" w:lineRule="exact"/>
        <w:ind w:left="0"/>
        <w:jc w:val="center"/>
        <w:rPr>
          <w:rFonts w:cs="Arial"/>
          <w:b/>
          <w:spacing w:val="0"/>
          <w:sz w:val="22"/>
          <w:szCs w:val="22"/>
          <w:lang w:eastAsia="pt-PT"/>
        </w:rPr>
      </w:pPr>
      <w:r w:rsidRPr="0050142D">
        <w:rPr>
          <w:rFonts w:cs="Arial"/>
          <w:b/>
          <w:spacing w:val="0"/>
          <w:sz w:val="22"/>
          <w:szCs w:val="22"/>
          <w:lang w:eastAsia="pt-PT"/>
        </w:rPr>
        <w:t xml:space="preserve">CUSTO-PADRÃO </w:t>
      </w:r>
    </w:p>
    <w:p w:rsidR="00505BC6" w:rsidRPr="000103A3" w:rsidRDefault="00505BC6" w:rsidP="00505BC6">
      <w:pPr>
        <w:spacing w:after="200" w:line="260" w:lineRule="exact"/>
        <w:ind w:left="0"/>
        <w:jc w:val="center"/>
        <w:rPr>
          <w:rFonts w:cs="Arial"/>
          <w:spacing w:val="0"/>
          <w:szCs w:val="18"/>
          <w:lang w:eastAsia="pt-PT"/>
        </w:rPr>
      </w:pPr>
      <w:r w:rsidRPr="000103A3">
        <w:rPr>
          <w:rFonts w:cs="Arial"/>
          <w:spacing w:val="0"/>
          <w:szCs w:val="18"/>
          <w:lang w:eastAsia="pt-PT"/>
        </w:rPr>
        <w:t>(para efeitos de análise de candidaturas ao Portugal 2020)</w:t>
      </w:r>
    </w:p>
    <w:tbl>
      <w:tblPr>
        <w:tblStyle w:val="Tabelacomgrelha"/>
        <w:tblW w:w="14992" w:type="dxa"/>
        <w:tblLook w:val="04A0"/>
      </w:tblPr>
      <w:tblGrid>
        <w:gridCol w:w="1951"/>
        <w:gridCol w:w="6946"/>
        <w:gridCol w:w="2693"/>
        <w:gridCol w:w="2268"/>
        <w:gridCol w:w="1134"/>
      </w:tblGrid>
      <w:tr w:rsidR="002F3713" w:rsidRPr="00551F85" w:rsidTr="00F65DE8">
        <w:trPr>
          <w:trHeight w:val="539"/>
        </w:trPr>
        <w:tc>
          <w:tcPr>
            <w:tcW w:w="1951" w:type="dxa"/>
            <w:shd w:val="clear" w:color="auto" w:fill="D9E2F3" w:themeFill="accent5" w:themeFillTint="33"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Tipo de intervenção</w:t>
            </w:r>
          </w:p>
        </w:tc>
        <w:tc>
          <w:tcPr>
            <w:tcW w:w="6946" w:type="dxa"/>
            <w:shd w:val="clear" w:color="auto" w:fill="D9E2F3" w:themeFill="accent5" w:themeFillTint="33"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Descrição da solução técnica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Caraterística dos elementos</w:t>
            </w:r>
          </w:p>
        </w:tc>
        <w:tc>
          <w:tcPr>
            <w:tcW w:w="2268" w:type="dxa"/>
            <w:shd w:val="clear" w:color="auto" w:fill="D9E2F3" w:themeFill="accent5" w:themeFillTint="33"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Custo unitário máximo</w:t>
            </w:r>
          </w:p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(€/m2)</w:t>
            </w:r>
          </w:p>
        </w:tc>
        <w:tc>
          <w:tcPr>
            <w:tcW w:w="1134" w:type="dxa"/>
            <w:shd w:val="clear" w:color="auto" w:fill="D9E2F3" w:themeFill="accent5" w:themeFillTint="33"/>
            <w:vAlign w:val="center"/>
          </w:tcPr>
          <w:p w:rsidR="002F3713" w:rsidRPr="00551F85" w:rsidRDefault="002F3713" w:rsidP="006769E6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>
              <w:rPr>
                <w:rFonts w:eastAsia="Calibri" w:cs="Arial"/>
                <w:b/>
                <w:spacing w:val="0"/>
                <w:sz w:val="18"/>
                <w:szCs w:val="18"/>
              </w:rPr>
              <w:t>Vida útil (anos)</w:t>
            </w:r>
          </w:p>
        </w:tc>
      </w:tr>
      <w:tr w:rsidR="002F3713" w:rsidRPr="00551F85" w:rsidTr="00F65DE8">
        <w:trPr>
          <w:trHeight w:val="414"/>
        </w:trPr>
        <w:tc>
          <w:tcPr>
            <w:tcW w:w="1951" w:type="dxa"/>
            <w:vMerge w:val="restart"/>
            <w:vAlign w:val="center"/>
          </w:tcPr>
          <w:p w:rsidR="002F3713" w:rsidRPr="00B35B93" w:rsidRDefault="002F3713" w:rsidP="006769E6">
            <w:pPr>
              <w:tabs>
                <w:tab w:val="left" w:pos="3675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B35B93">
              <w:rPr>
                <w:b/>
                <w:sz w:val="18"/>
                <w:szCs w:val="18"/>
              </w:rPr>
              <w:t>Envolvente opaca</w:t>
            </w:r>
          </w:p>
        </w:tc>
        <w:tc>
          <w:tcPr>
            <w:tcW w:w="6946" w:type="dxa"/>
            <w:vAlign w:val="center"/>
          </w:tcPr>
          <w:p w:rsidR="002F3713" w:rsidRPr="00551F85" w:rsidRDefault="002F3713" w:rsidP="00F65DE8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Aplicação de isolamento térmico contínuo em paredes (ETICS) com EPS 100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F65DE8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Até 80 mm de isolamento</w:t>
            </w:r>
          </w:p>
        </w:tc>
        <w:tc>
          <w:tcPr>
            <w:tcW w:w="2268" w:type="dxa"/>
            <w:vAlign w:val="center"/>
          </w:tcPr>
          <w:p w:rsidR="002F3713" w:rsidRPr="00551F85" w:rsidRDefault="002F3713" w:rsidP="00F65DE8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41,0</w:t>
            </w:r>
          </w:p>
        </w:tc>
        <w:tc>
          <w:tcPr>
            <w:tcW w:w="1134" w:type="dxa"/>
            <w:vAlign w:val="center"/>
          </w:tcPr>
          <w:p w:rsidR="002F3713" w:rsidRPr="00551F85" w:rsidRDefault="006769E6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F3713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B35B93" w:rsidRDefault="002F3713" w:rsidP="000212A3">
            <w:pPr>
              <w:tabs>
                <w:tab w:val="left" w:pos="3675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Aplicação de isolamento térmico contínuo em paredes (ETICS) com EPS 150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Até 80 mm de isolamento</w:t>
            </w:r>
          </w:p>
        </w:tc>
        <w:tc>
          <w:tcPr>
            <w:tcW w:w="2268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44,9</w:t>
            </w:r>
          </w:p>
        </w:tc>
        <w:tc>
          <w:tcPr>
            <w:tcW w:w="1134" w:type="dxa"/>
            <w:vAlign w:val="center"/>
          </w:tcPr>
          <w:p w:rsidR="002F3713" w:rsidRPr="00551F85" w:rsidRDefault="006769E6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F3713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B35B93" w:rsidRDefault="002F3713" w:rsidP="000212A3">
            <w:pPr>
              <w:tabs>
                <w:tab w:val="left" w:pos="3675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Aplicação de isolamento térmico no pavimento com EPS 150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Até 100 mm de isolamento</w:t>
            </w:r>
          </w:p>
        </w:tc>
        <w:tc>
          <w:tcPr>
            <w:tcW w:w="2268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  <w:vAlign w:val="center"/>
          </w:tcPr>
          <w:p w:rsidR="002F3713" w:rsidRPr="00551F85" w:rsidRDefault="006769E6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F3713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B35B93" w:rsidRDefault="002F3713" w:rsidP="000212A3">
            <w:pPr>
              <w:tabs>
                <w:tab w:val="left" w:pos="3675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Aplicação de isolamento térmico na cobertura com EPS 150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Até 100 mm de isolamento</w:t>
            </w:r>
          </w:p>
        </w:tc>
        <w:tc>
          <w:tcPr>
            <w:tcW w:w="2268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13,5</w:t>
            </w:r>
          </w:p>
        </w:tc>
        <w:tc>
          <w:tcPr>
            <w:tcW w:w="1134" w:type="dxa"/>
            <w:vAlign w:val="center"/>
          </w:tcPr>
          <w:p w:rsidR="002F3713" w:rsidRPr="00551F85" w:rsidRDefault="006769E6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F3713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B35B93" w:rsidRDefault="002F3713" w:rsidP="000212A3">
            <w:pPr>
              <w:tabs>
                <w:tab w:val="left" w:pos="3675"/>
              </w:tabs>
              <w:ind w:left="0"/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Aplicação de isolamento térmico na cobertura com lajetas térmicas XPS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Até 100 mm de isolamento</w:t>
            </w:r>
          </w:p>
        </w:tc>
        <w:tc>
          <w:tcPr>
            <w:tcW w:w="2268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25,0</w:t>
            </w:r>
          </w:p>
        </w:tc>
        <w:tc>
          <w:tcPr>
            <w:tcW w:w="1134" w:type="dxa"/>
            <w:vAlign w:val="center"/>
          </w:tcPr>
          <w:p w:rsidR="002F3713" w:rsidRPr="00551F85" w:rsidRDefault="006769E6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2F3713" w:rsidRPr="00551F85" w:rsidTr="00F65DE8">
        <w:trPr>
          <w:trHeight w:val="414"/>
        </w:trPr>
        <w:tc>
          <w:tcPr>
            <w:tcW w:w="1951" w:type="dxa"/>
            <w:vMerge w:val="restart"/>
            <w:vAlign w:val="center"/>
          </w:tcPr>
          <w:p w:rsidR="002F3713" w:rsidRPr="00B35B93" w:rsidRDefault="002F3713" w:rsidP="006769E6">
            <w:pPr>
              <w:tabs>
                <w:tab w:val="left" w:pos="3675"/>
              </w:tabs>
              <w:ind w:left="0"/>
              <w:jc w:val="center"/>
              <w:rPr>
                <w:b/>
                <w:sz w:val="18"/>
                <w:szCs w:val="18"/>
              </w:rPr>
            </w:pPr>
            <w:r w:rsidRPr="00B35B93">
              <w:rPr>
                <w:b/>
                <w:sz w:val="18"/>
                <w:szCs w:val="18"/>
              </w:rPr>
              <w:t>Envolvente envidraçada</w:t>
            </w:r>
          </w:p>
        </w:tc>
        <w:tc>
          <w:tcPr>
            <w:tcW w:w="6946" w:type="dxa"/>
            <w:vAlign w:val="center"/>
          </w:tcPr>
          <w:p w:rsidR="002F3713" w:rsidRPr="00551F85" w:rsidRDefault="002F3713" w:rsidP="00F65DE8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Substituição de vãos envidraçados por soluções mais eficientes com caixilharia de PVC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F65DE8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Vidro duplo incolor</w:t>
            </w:r>
          </w:p>
        </w:tc>
        <w:tc>
          <w:tcPr>
            <w:tcW w:w="2268" w:type="dxa"/>
            <w:vAlign w:val="center"/>
          </w:tcPr>
          <w:p w:rsidR="002F3713" w:rsidRPr="00551F85" w:rsidRDefault="002F3713" w:rsidP="00F65DE8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260,0</w:t>
            </w:r>
          </w:p>
        </w:tc>
        <w:tc>
          <w:tcPr>
            <w:tcW w:w="1134" w:type="dxa"/>
            <w:vAlign w:val="center"/>
          </w:tcPr>
          <w:p w:rsidR="002F3713" w:rsidRPr="00551F85" w:rsidRDefault="006769E6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2F3713" w:rsidRPr="00551F85" w:rsidTr="00F65DE8">
        <w:trPr>
          <w:trHeight w:val="499"/>
        </w:trPr>
        <w:tc>
          <w:tcPr>
            <w:tcW w:w="1951" w:type="dxa"/>
            <w:vMerge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Substituição de vãos envidraçados por soluções mais eficientes com caixilharia de alumínio com corte térmico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Vidro duplo low-e</w:t>
            </w:r>
          </w:p>
        </w:tc>
        <w:tc>
          <w:tcPr>
            <w:tcW w:w="2268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380,0</w:t>
            </w:r>
          </w:p>
        </w:tc>
        <w:tc>
          <w:tcPr>
            <w:tcW w:w="1134" w:type="dxa"/>
            <w:vAlign w:val="center"/>
          </w:tcPr>
          <w:p w:rsidR="002F3713" w:rsidRPr="00551F85" w:rsidRDefault="006769E6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</w:t>
            </w:r>
          </w:p>
        </w:tc>
      </w:tr>
      <w:tr w:rsidR="002F3713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Dispositivos de sombreamento (estore veneziano ou equivalente)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--</w:t>
            </w:r>
          </w:p>
        </w:tc>
        <w:tc>
          <w:tcPr>
            <w:tcW w:w="2268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100,0</w:t>
            </w:r>
          </w:p>
        </w:tc>
        <w:tc>
          <w:tcPr>
            <w:tcW w:w="1134" w:type="dxa"/>
            <w:vAlign w:val="center"/>
          </w:tcPr>
          <w:p w:rsidR="002F3713" w:rsidRPr="00551F85" w:rsidRDefault="006769E6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  <w:tr w:rsidR="002F3713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Dispositivos de sombreamento (estores de lâminas de cor média)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--</w:t>
            </w:r>
          </w:p>
        </w:tc>
        <w:tc>
          <w:tcPr>
            <w:tcW w:w="2268" w:type="dxa"/>
            <w:vAlign w:val="center"/>
          </w:tcPr>
          <w:p w:rsidR="002F3713" w:rsidRPr="00551F85" w:rsidRDefault="002F3713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70,0</w:t>
            </w:r>
          </w:p>
        </w:tc>
        <w:tc>
          <w:tcPr>
            <w:tcW w:w="1134" w:type="dxa"/>
            <w:vAlign w:val="center"/>
          </w:tcPr>
          <w:p w:rsidR="002F3713" w:rsidRPr="00551F85" w:rsidRDefault="006769E6" w:rsidP="000212A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</w:tr>
    </w:tbl>
    <w:p w:rsidR="00585829" w:rsidRPr="00551F85" w:rsidRDefault="00585829" w:rsidP="00A05769">
      <w:pPr>
        <w:tabs>
          <w:tab w:val="left" w:pos="-2127"/>
        </w:tabs>
        <w:jc w:val="center"/>
        <w:rPr>
          <w:sz w:val="18"/>
          <w:szCs w:val="18"/>
        </w:rPr>
      </w:pPr>
    </w:p>
    <w:p w:rsidR="00585829" w:rsidRDefault="00585829" w:rsidP="00A05769">
      <w:pPr>
        <w:tabs>
          <w:tab w:val="left" w:pos="3675"/>
        </w:tabs>
        <w:jc w:val="center"/>
        <w:rPr>
          <w:b/>
          <w:sz w:val="18"/>
          <w:szCs w:val="18"/>
        </w:rPr>
      </w:pPr>
    </w:p>
    <w:p w:rsidR="006769E6" w:rsidRDefault="006769E6" w:rsidP="00A05769">
      <w:pPr>
        <w:tabs>
          <w:tab w:val="left" w:pos="3675"/>
        </w:tabs>
        <w:jc w:val="center"/>
        <w:rPr>
          <w:b/>
          <w:sz w:val="18"/>
          <w:szCs w:val="18"/>
        </w:rPr>
      </w:pPr>
    </w:p>
    <w:p w:rsidR="006769E6" w:rsidRPr="00551F85" w:rsidRDefault="006769E6" w:rsidP="00A05769">
      <w:pPr>
        <w:tabs>
          <w:tab w:val="left" w:pos="3675"/>
        </w:tabs>
        <w:jc w:val="center"/>
        <w:rPr>
          <w:b/>
          <w:sz w:val="18"/>
          <w:szCs w:val="18"/>
        </w:rPr>
      </w:pPr>
    </w:p>
    <w:tbl>
      <w:tblPr>
        <w:tblStyle w:val="Tabelacomgrelha"/>
        <w:tblW w:w="14992" w:type="dxa"/>
        <w:tblLook w:val="04A0"/>
      </w:tblPr>
      <w:tblGrid>
        <w:gridCol w:w="1951"/>
        <w:gridCol w:w="6946"/>
        <w:gridCol w:w="2693"/>
        <w:gridCol w:w="2302"/>
        <w:gridCol w:w="1100"/>
      </w:tblGrid>
      <w:tr w:rsidR="002F3713" w:rsidRPr="00551F85" w:rsidTr="006769E6">
        <w:trPr>
          <w:trHeight w:val="509"/>
        </w:trPr>
        <w:tc>
          <w:tcPr>
            <w:tcW w:w="1951" w:type="dxa"/>
            <w:shd w:val="clear" w:color="auto" w:fill="D9E2F3" w:themeFill="accent5" w:themeFillTint="33"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lastRenderedPageBreak/>
              <w:t>Tipo de intervenção</w:t>
            </w:r>
          </w:p>
        </w:tc>
        <w:tc>
          <w:tcPr>
            <w:tcW w:w="6946" w:type="dxa"/>
            <w:shd w:val="clear" w:color="auto" w:fill="D9E2F3" w:themeFill="accent5" w:themeFillTint="33"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Descrição da solução técnica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Caraterística dos equipamentos</w:t>
            </w:r>
          </w:p>
        </w:tc>
        <w:tc>
          <w:tcPr>
            <w:tcW w:w="2302" w:type="dxa"/>
            <w:shd w:val="clear" w:color="auto" w:fill="D9E2F3" w:themeFill="accent5" w:themeFillTint="33"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Custo unitário máximo</w:t>
            </w:r>
          </w:p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(€/equipamento)</w:t>
            </w:r>
          </w:p>
        </w:tc>
        <w:tc>
          <w:tcPr>
            <w:tcW w:w="1100" w:type="dxa"/>
            <w:shd w:val="clear" w:color="auto" w:fill="D9E2F3" w:themeFill="accent5" w:themeFillTint="33"/>
            <w:vAlign w:val="center"/>
          </w:tcPr>
          <w:p w:rsidR="002F3713" w:rsidRPr="00551F85" w:rsidRDefault="002F3713" w:rsidP="006769E6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>
              <w:rPr>
                <w:rFonts w:eastAsia="Calibri" w:cs="Arial"/>
                <w:b/>
                <w:spacing w:val="0"/>
                <w:sz w:val="18"/>
                <w:szCs w:val="18"/>
              </w:rPr>
              <w:t>Vida útil (anos)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 w:val="restart"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Aquecimento de águas sanitárias (AQS)</w:t>
            </w:r>
          </w:p>
          <w:p w:rsidR="002F3713" w:rsidRPr="00551F85" w:rsidRDefault="002F3713" w:rsidP="00A05769">
            <w:pPr>
              <w:rPr>
                <w:rFonts w:eastAsia="Calibri" w:cs="Arial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Sistema solar de circulação forçada (kit), incluindo depósito 500 l, acessórios e tubagem, instalação, testes e transportes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3 coletores / 6 m</w:t>
            </w:r>
            <w:r w:rsidRPr="00B35B93">
              <w:rPr>
                <w:sz w:val="18"/>
                <w:szCs w:val="18"/>
              </w:rPr>
              <w:t>2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6100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Sistema solar de circulação forçada (kit), incluindo depósito 500 l, acessórios e tubagem, instalação, testes e transportes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4 coletores / 8 m</w:t>
            </w:r>
            <w:r w:rsidRPr="00B35B93">
              <w:rPr>
                <w:sz w:val="18"/>
                <w:szCs w:val="18"/>
              </w:rPr>
              <w:t>2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6900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Sistema solar de circulação forçada (peças), incluindo depósito 500 l, acessórios e tubagem, instalação, testes e transportes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6 coletores / 12 m</w:t>
            </w:r>
            <w:r w:rsidRPr="00B35B93">
              <w:rPr>
                <w:sz w:val="18"/>
                <w:szCs w:val="18"/>
              </w:rPr>
              <w:t>2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9400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Sistema solar de circulação forçada (peças): coletor adicional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 coletor de 2 m</w:t>
            </w:r>
            <w:r w:rsidRPr="00B35B93">
              <w:rPr>
                <w:sz w:val="18"/>
                <w:szCs w:val="18"/>
              </w:rPr>
              <w:t>2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1000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Sistema solar de circulação forçada (peças): capacidade adicional do depósito (inclui aumento de capacidade do vaso de expansão e do grupo de circulação)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+500 litros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3000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Esquentador compacto de exaustão ventilada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18 litros/min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400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Esquentador compacto, ventilado e estanque (adequado para apoio ao solar térmico)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18 litros/min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450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Esquentador de alta capacidade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27 litros/min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1400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Termoacumulador elétrico 2 kW</w:t>
            </w:r>
          </w:p>
        </w:tc>
        <w:tc>
          <w:tcPr>
            <w:tcW w:w="2693" w:type="dxa"/>
            <w:vAlign w:val="center"/>
          </w:tcPr>
          <w:p w:rsidR="002F3713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Até </w:t>
            </w:r>
            <w:r w:rsidR="002F3713" w:rsidRPr="00551F85">
              <w:rPr>
                <w:sz w:val="18"/>
                <w:szCs w:val="18"/>
              </w:rPr>
              <w:t>75 litros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175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Caldeira mural convencional a gás</w:t>
            </w:r>
          </w:p>
        </w:tc>
        <w:tc>
          <w:tcPr>
            <w:tcW w:w="2693" w:type="dxa"/>
            <w:vAlign w:val="center"/>
          </w:tcPr>
          <w:p w:rsidR="002F3713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Até </w:t>
            </w:r>
            <w:r w:rsidR="002F3713" w:rsidRPr="00551F85">
              <w:rPr>
                <w:sz w:val="18"/>
                <w:szCs w:val="18"/>
              </w:rPr>
              <w:t>35 kW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1750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Caldeira mural de condensação</w:t>
            </w:r>
          </w:p>
        </w:tc>
        <w:tc>
          <w:tcPr>
            <w:tcW w:w="2693" w:type="dxa"/>
            <w:vAlign w:val="center"/>
          </w:tcPr>
          <w:p w:rsidR="002F3713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Até </w:t>
            </w:r>
            <w:r w:rsidR="002F3713" w:rsidRPr="00551F85">
              <w:rPr>
                <w:sz w:val="18"/>
                <w:szCs w:val="18"/>
              </w:rPr>
              <w:t>30 kW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2250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Caldeira mural de condensação</w:t>
            </w:r>
          </w:p>
        </w:tc>
        <w:tc>
          <w:tcPr>
            <w:tcW w:w="2693" w:type="dxa"/>
            <w:vAlign w:val="center"/>
          </w:tcPr>
          <w:p w:rsidR="002F3713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Até </w:t>
            </w:r>
            <w:r w:rsidR="002F3713" w:rsidRPr="00551F85">
              <w:rPr>
                <w:sz w:val="18"/>
                <w:szCs w:val="18"/>
              </w:rPr>
              <w:t>45 kW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3200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Caldeira mural de condensação</w:t>
            </w:r>
          </w:p>
        </w:tc>
        <w:tc>
          <w:tcPr>
            <w:tcW w:w="2693" w:type="dxa"/>
            <w:vAlign w:val="center"/>
          </w:tcPr>
          <w:p w:rsidR="002F3713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Até </w:t>
            </w:r>
            <w:r w:rsidR="002F3713" w:rsidRPr="00551F85">
              <w:rPr>
                <w:sz w:val="18"/>
                <w:szCs w:val="18"/>
              </w:rPr>
              <w:t>65 kW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4100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  <w:tr w:rsidR="002F3713" w:rsidRPr="00551F85" w:rsidTr="006769E6">
        <w:trPr>
          <w:trHeight w:val="414"/>
        </w:trPr>
        <w:tc>
          <w:tcPr>
            <w:tcW w:w="1951" w:type="dxa"/>
            <w:vMerge w:val="restart"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AQS e Climatização</w:t>
            </w: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Bomba de calor ar-água (unidade exterior/unidade interior)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Até 5 kWe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3750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</w:tr>
      <w:tr w:rsidR="002F3713" w:rsidRPr="00551F85" w:rsidTr="00CF0CAB">
        <w:trPr>
          <w:trHeight w:val="414"/>
        </w:trPr>
        <w:tc>
          <w:tcPr>
            <w:tcW w:w="1951" w:type="dxa"/>
            <w:vMerge/>
            <w:vAlign w:val="center"/>
          </w:tcPr>
          <w:p w:rsidR="002F3713" w:rsidRPr="00551F85" w:rsidRDefault="002F3713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2F3713" w:rsidRPr="00551F85" w:rsidRDefault="002F3713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Caldeira mural com radiadores constituídos por elementos</w:t>
            </w:r>
          </w:p>
        </w:tc>
        <w:tc>
          <w:tcPr>
            <w:tcW w:w="2693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30-65 kW</w:t>
            </w:r>
          </w:p>
        </w:tc>
        <w:tc>
          <w:tcPr>
            <w:tcW w:w="2302" w:type="dxa"/>
            <w:vAlign w:val="center"/>
          </w:tcPr>
          <w:p w:rsidR="002F3713" w:rsidRPr="00551F85" w:rsidRDefault="002F3713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Custo caldeira + 15€/elemento</w:t>
            </w:r>
          </w:p>
        </w:tc>
        <w:tc>
          <w:tcPr>
            <w:tcW w:w="1100" w:type="dxa"/>
            <w:vAlign w:val="center"/>
          </w:tcPr>
          <w:p w:rsidR="002F3713" w:rsidRPr="00551F85" w:rsidRDefault="006769E6" w:rsidP="00CF0CAB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</w:t>
            </w:r>
          </w:p>
        </w:tc>
      </w:tr>
    </w:tbl>
    <w:p w:rsidR="00585829" w:rsidRPr="00551F85" w:rsidRDefault="00585829" w:rsidP="00A05769">
      <w:pPr>
        <w:tabs>
          <w:tab w:val="left" w:pos="3675"/>
        </w:tabs>
        <w:jc w:val="center"/>
        <w:rPr>
          <w:sz w:val="18"/>
          <w:szCs w:val="18"/>
        </w:rPr>
      </w:pPr>
    </w:p>
    <w:p w:rsidR="00585829" w:rsidRDefault="00585829" w:rsidP="00A05769">
      <w:pPr>
        <w:tabs>
          <w:tab w:val="left" w:pos="3675"/>
        </w:tabs>
        <w:jc w:val="center"/>
        <w:rPr>
          <w:sz w:val="18"/>
          <w:szCs w:val="18"/>
        </w:rPr>
      </w:pPr>
    </w:p>
    <w:p w:rsidR="00B35B93" w:rsidRDefault="00B35B93" w:rsidP="00A05769">
      <w:pPr>
        <w:tabs>
          <w:tab w:val="left" w:pos="3675"/>
        </w:tabs>
        <w:jc w:val="center"/>
        <w:rPr>
          <w:sz w:val="18"/>
          <w:szCs w:val="18"/>
        </w:rPr>
      </w:pPr>
    </w:p>
    <w:p w:rsidR="00B35B93" w:rsidRDefault="00B35B93" w:rsidP="00A05769">
      <w:pPr>
        <w:tabs>
          <w:tab w:val="left" w:pos="3675"/>
        </w:tabs>
        <w:jc w:val="center"/>
        <w:rPr>
          <w:sz w:val="18"/>
          <w:szCs w:val="18"/>
        </w:rPr>
      </w:pPr>
    </w:p>
    <w:p w:rsidR="00B35B93" w:rsidRDefault="00B35B93" w:rsidP="00A05769">
      <w:pPr>
        <w:tabs>
          <w:tab w:val="left" w:pos="3675"/>
        </w:tabs>
        <w:jc w:val="center"/>
        <w:rPr>
          <w:sz w:val="18"/>
          <w:szCs w:val="18"/>
        </w:rPr>
      </w:pPr>
    </w:p>
    <w:p w:rsidR="00B35B93" w:rsidRDefault="00B35B93" w:rsidP="00A05769">
      <w:pPr>
        <w:tabs>
          <w:tab w:val="left" w:pos="3675"/>
        </w:tabs>
        <w:jc w:val="center"/>
        <w:rPr>
          <w:sz w:val="18"/>
          <w:szCs w:val="18"/>
        </w:rPr>
      </w:pPr>
    </w:p>
    <w:p w:rsidR="00331307" w:rsidRDefault="00331307" w:rsidP="00A05769">
      <w:pPr>
        <w:tabs>
          <w:tab w:val="left" w:pos="3675"/>
        </w:tabs>
        <w:jc w:val="center"/>
        <w:rPr>
          <w:sz w:val="18"/>
          <w:szCs w:val="18"/>
        </w:rPr>
      </w:pPr>
    </w:p>
    <w:p w:rsidR="00B35B93" w:rsidRPr="00551F85" w:rsidRDefault="00B35B93" w:rsidP="00A05769">
      <w:pPr>
        <w:tabs>
          <w:tab w:val="left" w:pos="3675"/>
        </w:tabs>
        <w:jc w:val="center"/>
        <w:rPr>
          <w:sz w:val="18"/>
          <w:szCs w:val="18"/>
        </w:rPr>
      </w:pPr>
    </w:p>
    <w:p w:rsidR="00585829" w:rsidRPr="00551F85" w:rsidRDefault="00585829" w:rsidP="00A05769">
      <w:pPr>
        <w:tabs>
          <w:tab w:val="left" w:pos="3675"/>
        </w:tabs>
        <w:jc w:val="center"/>
        <w:rPr>
          <w:sz w:val="18"/>
          <w:szCs w:val="18"/>
        </w:rPr>
      </w:pPr>
    </w:p>
    <w:tbl>
      <w:tblPr>
        <w:tblStyle w:val="Tabelacomgrelha"/>
        <w:tblW w:w="14992" w:type="dxa"/>
        <w:tblLook w:val="04A0"/>
      </w:tblPr>
      <w:tblGrid>
        <w:gridCol w:w="1951"/>
        <w:gridCol w:w="6946"/>
        <w:gridCol w:w="2693"/>
        <w:gridCol w:w="2302"/>
        <w:gridCol w:w="1100"/>
      </w:tblGrid>
      <w:tr w:rsidR="006769E6" w:rsidRPr="00551F85" w:rsidTr="006769E6">
        <w:tc>
          <w:tcPr>
            <w:tcW w:w="1951" w:type="dxa"/>
            <w:shd w:val="clear" w:color="auto" w:fill="D9E2F3" w:themeFill="accent5" w:themeFillTint="33"/>
            <w:vAlign w:val="center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Tipo de intervenção</w:t>
            </w:r>
          </w:p>
        </w:tc>
        <w:tc>
          <w:tcPr>
            <w:tcW w:w="6946" w:type="dxa"/>
            <w:shd w:val="clear" w:color="auto" w:fill="D9E2F3" w:themeFill="accent5" w:themeFillTint="33"/>
            <w:vAlign w:val="center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Descrição da solução técnica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Área Interior</w:t>
            </w:r>
          </w:p>
        </w:tc>
        <w:tc>
          <w:tcPr>
            <w:tcW w:w="2302" w:type="dxa"/>
            <w:shd w:val="clear" w:color="auto" w:fill="D9E2F3" w:themeFill="accent5" w:themeFillTint="33"/>
            <w:vAlign w:val="center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Custo unitário máximo</w:t>
            </w:r>
          </w:p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(€/m2)</w:t>
            </w:r>
          </w:p>
        </w:tc>
        <w:tc>
          <w:tcPr>
            <w:tcW w:w="1100" w:type="dxa"/>
            <w:shd w:val="clear" w:color="auto" w:fill="D9E2F3" w:themeFill="accent5" w:themeFillTint="33"/>
            <w:vAlign w:val="center"/>
          </w:tcPr>
          <w:p w:rsidR="006769E6" w:rsidRPr="00551F85" w:rsidRDefault="006769E6" w:rsidP="006769E6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</w:tc>
      </w:tr>
      <w:tr w:rsidR="006769E6" w:rsidRPr="00551F85" w:rsidTr="00F65DE8">
        <w:trPr>
          <w:trHeight w:val="414"/>
        </w:trPr>
        <w:tc>
          <w:tcPr>
            <w:tcW w:w="1951" w:type="dxa"/>
            <w:vMerge w:val="restart"/>
            <w:vAlign w:val="center"/>
          </w:tcPr>
          <w:p w:rsidR="006769E6" w:rsidRPr="00551F85" w:rsidRDefault="006769E6" w:rsidP="00B35B93">
            <w:pPr>
              <w:ind w:left="0"/>
              <w:jc w:val="center"/>
              <w:rPr>
                <w:sz w:val="18"/>
                <w:szCs w:val="18"/>
              </w:rPr>
            </w:pPr>
            <w:r w:rsidRPr="00B35B93">
              <w:rPr>
                <w:rFonts w:eastAsia="Calibri" w:cs="Arial"/>
                <w:b/>
                <w:spacing w:val="0"/>
                <w:sz w:val="18"/>
                <w:szCs w:val="18"/>
              </w:rPr>
              <w:t>Auditoria</w:t>
            </w:r>
            <w:r>
              <w:rPr>
                <w:rFonts w:eastAsia="Calibri" w:cs="Arial"/>
                <w:b/>
                <w:spacing w:val="0"/>
                <w:sz w:val="18"/>
                <w:szCs w:val="18"/>
              </w:rPr>
              <w:t>s</w:t>
            </w:r>
            <w:r w:rsidRPr="00B35B93">
              <w:rPr>
                <w:rFonts w:eastAsia="Calibri" w:cs="Arial"/>
                <w:b/>
                <w:spacing w:val="0"/>
                <w:sz w:val="18"/>
                <w:szCs w:val="18"/>
              </w:rPr>
              <w:t xml:space="preserve"> energéticas</w:t>
            </w:r>
          </w:p>
        </w:tc>
        <w:tc>
          <w:tcPr>
            <w:tcW w:w="6946" w:type="dxa"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Edifícios de serviços (escritórios, escolas, instalações desportivas, hospitais e unidades de saúde)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Inferior a 1000 m</w:t>
            </w:r>
            <w:r w:rsidRPr="00B35B93">
              <w:rPr>
                <w:sz w:val="18"/>
                <w:szCs w:val="18"/>
              </w:rPr>
              <w:t>2</w:t>
            </w:r>
          </w:p>
        </w:tc>
        <w:tc>
          <w:tcPr>
            <w:tcW w:w="2302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2,5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:rsidR="006769E6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769E6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Pr="00551F85" w:rsidRDefault="006769E6" w:rsidP="00A05769">
            <w:pPr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Edifícios de serviços (escritórios, escolas, instalações desportivas, hospitais e unidades de saúde)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Entre 1000 e 2500 m</w:t>
            </w:r>
            <w:r w:rsidRPr="00B35B93">
              <w:rPr>
                <w:sz w:val="18"/>
                <w:szCs w:val="18"/>
              </w:rPr>
              <w:t>2</w:t>
            </w:r>
          </w:p>
        </w:tc>
        <w:tc>
          <w:tcPr>
            <w:tcW w:w="2302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1,5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:rsidR="006769E6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769E6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Pr="00551F85" w:rsidRDefault="006769E6" w:rsidP="00A05769">
            <w:pPr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Edifícios de serviços (escritórios, escolas, instalações desportivas, hospitais e unidades de saúde)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Entre 2500 e 10000 m</w:t>
            </w:r>
            <w:r w:rsidRPr="00B35B93">
              <w:rPr>
                <w:sz w:val="18"/>
                <w:szCs w:val="18"/>
              </w:rPr>
              <w:t>2</w:t>
            </w:r>
          </w:p>
        </w:tc>
        <w:tc>
          <w:tcPr>
            <w:tcW w:w="2302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1,0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:rsidR="006769E6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769E6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Pr="00551F85" w:rsidRDefault="006769E6" w:rsidP="00A05769">
            <w:pPr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Edifícios de serviços (escritórios, escolas, instalações desportivas, hospitais e unidades de saúde)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Superior a 10000 m</w:t>
            </w:r>
            <w:r w:rsidRPr="00B35B93">
              <w:rPr>
                <w:sz w:val="18"/>
                <w:szCs w:val="18"/>
              </w:rPr>
              <w:t>2</w:t>
            </w:r>
          </w:p>
        </w:tc>
        <w:tc>
          <w:tcPr>
            <w:tcW w:w="2302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0,7</w:t>
            </w:r>
          </w:p>
        </w:tc>
        <w:tc>
          <w:tcPr>
            <w:tcW w:w="1100" w:type="dxa"/>
            <w:shd w:val="clear" w:color="auto" w:fill="DEEAF6" w:themeFill="accent1" w:themeFillTint="33"/>
            <w:vAlign w:val="center"/>
          </w:tcPr>
          <w:p w:rsidR="006769E6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</w:p>
        </w:tc>
      </w:tr>
      <w:tr w:rsidR="006769E6" w:rsidRPr="00551F85" w:rsidTr="006769E6">
        <w:tc>
          <w:tcPr>
            <w:tcW w:w="1951" w:type="dxa"/>
            <w:shd w:val="clear" w:color="auto" w:fill="D9E2F3" w:themeFill="accent5" w:themeFillTint="33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Tipo de intervenção</w:t>
            </w:r>
          </w:p>
        </w:tc>
        <w:tc>
          <w:tcPr>
            <w:tcW w:w="6946" w:type="dxa"/>
            <w:shd w:val="clear" w:color="auto" w:fill="D9E2F3" w:themeFill="accent5" w:themeFillTint="33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Descrição da solução técnica</w:t>
            </w:r>
          </w:p>
        </w:tc>
        <w:tc>
          <w:tcPr>
            <w:tcW w:w="2693" w:type="dxa"/>
            <w:shd w:val="clear" w:color="auto" w:fill="D9E2F3" w:themeFill="accent5" w:themeFillTint="33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Potência instalada</w:t>
            </w:r>
          </w:p>
        </w:tc>
        <w:tc>
          <w:tcPr>
            <w:tcW w:w="2302" w:type="dxa"/>
            <w:shd w:val="clear" w:color="auto" w:fill="D9E2F3" w:themeFill="accent5" w:themeFillTint="33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Custo unitário máximo</w:t>
            </w:r>
          </w:p>
          <w:p w:rsidR="006769E6" w:rsidRPr="00551F85" w:rsidRDefault="006769E6" w:rsidP="00AF374C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(€/</w:t>
            </w:r>
            <w:r>
              <w:rPr>
                <w:rFonts w:eastAsia="Calibri" w:cs="Arial"/>
                <w:b/>
                <w:spacing w:val="0"/>
                <w:sz w:val="18"/>
                <w:szCs w:val="18"/>
              </w:rPr>
              <w:t>kW</w:t>
            </w: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p)</w:t>
            </w:r>
          </w:p>
        </w:tc>
        <w:tc>
          <w:tcPr>
            <w:tcW w:w="1100" w:type="dxa"/>
            <w:shd w:val="clear" w:color="auto" w:fill="D9E2F3" w:themeFill="accent5" w:themeFillTint="33"/>
            <w:vAlign w:val="center"/>
          </w:tcPr>
          <w:p w:rsidR="006769E6" w:rsidRPr="00551F85" w:rsidRDefault="006769E6" w:rsidP="006769E6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6769E6">
              <w:rPr>
                <w:rFonts w:eastAsia="Calibri" w:cs="Arial"/>
                <w:b/>
                <w:spacing w:val="0"/>
                <w:sz w:val="18"/>
                <w:szCs w:val="18"/>
              </w:rPr>
              <w:t>Vida útil (anos)</w:t>
            </w:r>
          </w:p>
        </w:tc>
      </w:tr>
      <w:tr w:rsidR="006769E6" w:rsidRPr="00551F85" w:rsidTr="006769E6">
        <w:trPr>
          <w:trHeight w:val="414"/>
        </w:trPr>
        <w:tc>
          <w:tcPr>
            <w:tcW w:w="1951" w:type="dxa"/>
            <w:vMerge w:val="restart"/>
            <w:vAlign w:val="center"/>
          </w:tcPr>
          <w:p w:rsidR="006769E6" w:rsidRPr="00B35B93" w:rsidRDefault="006769E6" w:rsidP="00B35B93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B35B93">
              <w:rPr>
                <w:rFonts w:eastAsia="Calibri" w:cs="Arial"/>
                <w:b/>
                <w:spacing w:val="0"/>
                <w:sz w:val="18"/>
                <w:szCs w:val="18"/>
              </w:rPr>
              <w:t>Sistemas de produção de energia</w:t>
            </w:r>
          </w:p>
        </w:tc>
        <w:tc>
          <w:tcPr>
            <w:tcW w:w="6946" w:type="dxa"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Módulos fotovoltaicos com estrutura e inversor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Até 1,5 kwp</w:t>
            </w:r>
          </w:p>
        </w:tc>
        <w:tc>
          <w:tcPr>
            <w:tcW w:w="2302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2000</w:t>
            </w:r>
          </w:p>
        </w:tc>
        <w:tc>
          <w:tcPr>
            <w:tcW w:w="1100" w:type="dxa"/>
            <w:vAlign w:val="center"/>
          </w:tcPr>
          <w:p w:rsidR="006769E6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6769E6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Sistema Solar fotovoltaico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Mais de 1,5 a 20 Kwp</w:t>
            </w:r>
          </w:p>
        </w:tc>
        <w:tc>
          <w:tcPr>
            <w:tcW w:w="2302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1700</w:t>
            </w:r>
          </w:p>
        </w:tc>
        <w:tc>
          <w:tcPr>
            <w:tcW w:w="1100" w:type="dxa"/>
            <w:vAlign w:val="center"/>
          </w:tcPr>
          <w:p w:rsidR="006769E6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  <w:tr w:rsidR="006769E6" w:rsidRPr="00551F85" w:rsidTr="006769E6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Sistema Solar fotovoltaico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Mais de 20 kwp</w:t>
            </w:r>
          </w:p>
        </w:tc>
        <w:tc>
          <w:tcPr>
            <w:tcW w:w="2302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1400</w:t>
            </w:r>
          </w:p>
        </w:tc>
        <w:tc>
          <w:tcPr>
            <w:tcW w:w="1100" w:type="dxa"/>
            <w:vAlign w:val="center"/>
          </w:tcPr>
          <w:p w:rsidR="006769E6" w:rsidRPr="00551F85" w:rsidRDefault="006769E6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</w:t>
            </w:r>
          </w:p>
        </w:tc>
      </w:tr>
    </w:tbl>
    <w:p w:rsidR="00585829" w:rsidRPr="00551F85" w:rsidRDefault="00585829" w:rsidP="00A05769">
      <w:pPr>
        <w:tabs>
          <w:tab w:val="left" w:pos="3675"/>
        </w:tabs>
        <w:jc w:val="center"/>
        <w:rPr>
          <w:sz w:val="18"/>
          <w:szCs w:val="18"/>
        </w:rPr>
      </w:pPr>
    </w:p>
    <w:tbl>
      <w:tblPr>
        <w:tblStyle w:val="Tabelacomgrelha"/>
        <w:tblW w:w="14992" w:type="dxa"/>
        <w:tblLook w:val="04A0"/>
      </w:tblPr>
      <w:tblGrid>
        <w:gridCol w:w="1951"/>
        <w:gridCol w:w="6946"/>
        <w:gridCol w:w="2693"/>
        <w:gridCol w:w="2302"/>
        <w:gridCol w:w="1100"/>
      </w:tblGrid>
      <w:tr w:rsidR="006769E6" w:rsidRPr="00551F85" w:rsidTr="00F65DE8">
        <w:trPr>
          <w:trHeight w:val="594"/>
        </w:trPr>
        <w:tc>
          <w:tcPr>
            <w:tcW w:w="1951" w:type="dxa"/>
            <w:shd w:val="clear" w:color="auto" w:fill="D9E2F3" w:themeFill="accent5" w:themeFillTint="33"/>
            <w:vAlign w:val="center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Tipo de intervenção</w:t>
            </w:r>
          </w:p>
        </w:tc>
        <w:tc>
          <w:tcPr>
            <w:tcW w:w="6946" w:type="dxa"/>
            <w:shd w:val="clear" w:color="auto" w:fill="D9E2F3" w:themeFill="accent5" w:themeFillTint="33"/>
            <w:vAlign w:val="center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Descrição da solução técnica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Potência instalada</w:t>
            </w:r>
          </w:p>
        </w:tc>
        <w:tc>
          <w:tcPr>
            <w:tcW w:w="2302" w:type="dxa"/>
            <w:shd w:val="clear" w:color="auto" w:fill="D9E2F3" w:themeFill="accent5" w:themeFillTint="33"/>
            <w:vAlign w:val="center"/>
          </w:tcPr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551F85" w:rsidRDefault="006769E6" w:rsidP="00A05769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551F85">
              <w:rPr>
                <w:rFonts w:eastAsia="Calibri" w:cs="Arial"/>
                <w:b/>
                <w:spacing w:val="0"/>
                <w:sz w:val="18"/>
                <w:szCs w:val="18"/>
              </w:rPr>
              <w:t>Custo unitário máximo</w:t>
            </w:r>
          </w:p>
        </w:tc>
        <w:tc>
          <w:tcPr>
            <w:tcW w:w="1100" w:type="dxa"/>
            <w:shd w:val="clear" w:color="auto" w:fill="D9E2F3" w:themeFill="accent5" w:themeFillTint="33"/>
            <w:vAlign w:val="center"/>
          </w:tcPr>
          <w:p w:rsidR="006769E6" w:rsidRPr="00551F85" w:rsidRDefault="006769E6" w:rsidP="006769E6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>
              <w:rPr>
                <w:rFonts w:eastAsia="Calibri" w:cs="Arial"/>
                <w:b/>
                <w:spacing w:val="0"/>
                <w:sz w:val="18"/>
                <w:szCs w:val="18"/>
              </w:rPr>
              <w:t>Vida útil (anos)</w:t>
            </w:r>
          </w:p>
        </w:tc>
      </w:tr>
      <w:tr w:rsidR="006769E6" w:rsidRPr="00551F85" w:rsidTr="00F65DE8">
        <w:trPr>
          <w:trHeight w:val="414"/>
        </w:trPr>
        <w:tc>
          <w:tcPr>
            <w:tcW w:w="1951" w:type="dxa"/>
            <w:vMerge w:val="restart"/>
            <w:vAlign w:val="center"/>
          </w:tcPr>
          <w:p w:rsidR="006769E6" w:rsidRPr="00551F85" w:rsidRDefault="00F65DE8" w:rsidP="00F65DE8">
            <w:pPr>
              <w:ind w:left="0"/>
              <w:jc w:val="center"/>
              <w:rPr>
                <w:sz w:val="18"/>
                <w:szCs w:val="18"/>
              </w:rPr>
            </w:pPr>
            <w:r w:rsidRPr="00F65DE8">
              <w:rPr>
                <w:rFonts w:eastAsia="Calibri" w:cs="Arial"/>
                <w:b/>
                <w:spacing w:val="0"/>
                <w:sz w:val="18"/>
                <w:szCs w:val="18"/>
              </w:rPr>
              <w:t>Sistemas de iluminação</w:t>
            </w:r>
          </w:p>
        </w:tc>
        <w:tc>
          <w:tcPr>
            <w:tcW w:w="6946" w:type="dxa"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632E6F">
              <w:rPr>
                <w:sz w:val="18"/>
                <w:szCs w:val="18"/>
              </w:rPr>
              <w:t>Substituição de lâmpadas convencionais por tubos de led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Até 25W/lâmpada</w:t>
            </w:r>
          </w:p>
        </w:tc>
        <w:tc>
          <w:tcPr>
            <w:tcW w:w="2302" w:type="dxa"/>
            <w:vAlign w:val="center"/>
          </w:tcPr>
          <w:p w:rsidR="006769E6" w:rsidRPr="00551F85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2 €/W</w:t>
            </w:r>
          </w:p>
        </w:tc>
        <w:tc>
          <w:tcPr>
            <w:tcW w:w="1100" w:type="dxa"/>
            <w:vAlign w:val="center"/>
          </w:tcPr>
          <w:p w:rsidR="006769E6" w:rsidRDefault="00F65DE8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769E6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A05769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Pr="00632E6F" w:rsidRDefault="006769E6" w:rsidP="00632E6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632E6F">
              <w:rPr>
                <w:sz w:val="18"/>
                <w:szCs w:val="18"/>
              </w:rPr>
              <w:t xml:space="preserve">Substituição de lâmpadas </w:t>
            </w:r>
            <w:r>
              <w:rPr>
                <w:sz w:val="18"/>
                <w:szCs w:val="18"/>
              </w:rPr>
              <w:t>dicroicas por</w:t>
            </w:r>
            <w:r w:rsidRPr="00632E6F">
              <w:rPr>
                <w:sz w:val="18"/>
                <w:szCs w:val="18"/>
              </w:rPr>
              <w:t xml:space="preserve"> led</w:t>
            </w:r>
          </w:p>
        </w:tc>
        <w:tc>
          <w:tcPr>
            <w:tcW w:w="2693" w:type="dxa"/>
            <w:vAlign w:val="center"/>
          </w:tcPr>
          <w:p w:rsidR="006769E6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Até 15 W/lâmpada</w:t>
            </w:r>
          </w:p>
        </w:tc>
        <w:tc>
          <w:tcPr>
            <w:tcW w:w="2302" w:type="dxa"/>
            <w:vAlign w:val="center"/>
          </w:tcPr>
          <w:p w:rsidR="006769E6" w:rsidRDefault="006769E6" w:rsidP="00B35B93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4 €/W</w:t>
            </w:r>
          </w:p>
        </w:tc>
        <w:tc>
          <w:tcPr>
            <w:tcW w:w="1100" w:type="dxa"/>
            <w:vAlign w:val="center"/>
          </w:tcPr>
          <w:p w:rsidR="006769E6" w:rsidRDefault="00F65DE8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769E6" w:rsidRPr="00331307" w:rsidTr="00F65DE8">
        <w:trPr>
          <w:trHeight w:val="594"/>
        </w:trPr>
        <w:tc>
          <w:tcPr>
            <w:tcW w:w="1951" w:type="dxa"/>
            <w:shd w:val="clear" w:color="auto" w:fill="D9E2F3" w:themeFill="accent5" w:themeFillTint="33"/>
            <w:vAlign w:val="center"/>
          </w:tcPr>
          <w:p w:rsidR="006769E6" w:rsidRPr="00551F85" w:rsidRDefault="006769E6" w:rsidP="00CB70CF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331307" w:rsidRDefault="006769E6" w:rsidP="00CB70CF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331307">
              <w:rPr>
                <w:rFonts w:eastAsia="Calibri" w:cs="Arial"/>
                <w:b/>
                <w:spacing w:val="0"/>
                <w:sz w:val="18"/>
                <w:szCs w:val="18"/>
              </w:rPr>
              <w:t>Tipo de intervenção</w:t>
            </w:r>
          </w:p>
        </w:tc>
        <w:tc>
          <w:tcPr>
            <w:tcW w:w="6946" w:type="dxa"/>
            <w:shd w:val="clear" w:color="auto" w:fill="D9E2F3" w:themeFill="accent5" w:themeFillTint="33"/>
            <w:vAlign w:val="center"/>
          </w:tcPr>
          <w:p w:rsidR="006769E6" w:rsidRPr="00331307" w:rsidRDefault="006769E6" w:rsidP="00CB70CF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331307" w:rsidRDefault="006769E6" w:rsidP="00CB70CF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331307">
              <w:rPr>
                <w:rFonts w:eastAsia="Calibri" w:cs="Arial"/>
                <w:b/>
                <w:spacing w:val="0"/>
                <w:sz w:val="18"/>
                <w:szCs w:val="18"/>
              </w:rPr>
              <w:t>Descrição da solução técnica</w:t>
            </w:r>
          </w:p>
        </w:tc>
        <w:tc>
          <w:tcPr>
            <w:tcW w:w="2693" w:type="dxa"/>
            <w:shd w:val="clear" w:color="auto" w:fill="D9E2F3" w:themeFill="accent5" w:themeFillTint="33"/>
            <w:vAlign w:val="center"/>
          </w:tcPr>
          <w:p w:rsidR="006769E6" w:rsidRPr="00331307" w:rsidRDefault="006769E6" w:rsidP="00CB70CF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331307" w:rsidRDefault="006769E6" w:rsidP="00CB70CF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331307">
              <w:rPr>
                <w:rFonts w:eastAsia="Calibri" w:cs="Arial"/>
                <w:b/>
                <w:spacing w:val="0"/>
                <w:sz w:val="18"/>
                <w:szCs w:val="18"/>
              </w:rPr>
              <w:t>Potência instalada</w:t>
            </w:r>
          </w:p>
        </w:tc>
        <w:tc>
          <w:tcPr>
            <w:tcW w:w="2302" w:type="dxa"/>
            <w:shd w:val="clear" w:color="auto" w:fill="D9E2F3" w:themeFill="accent5" w:themeFillTint="33"/>
            <w:vAlign w:val="center"/>
          </w:tcPr>
          <w:p w:rsidR="006769E6" w:rsidRPr="00331307" w:rsidRDefault="006769E6" w:rsidP="00CB70CF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331307" w:rsidRDefault="006769E6" w:rsidP="00CB70CF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331307">
              <w:rPr>
                <w:rFonts w:eastAsia="Calibri" w:cs="Arial"/>
                <w:b/>
                <w:spacing w:val="0"/>
                <w:sz w:val="18"/>
                <w:szCs w:val="18"/>
              </w:rPr>
              <w:t>Custo unitário máximo</w:t>
            </w:r>
          </w:p>
        </w:tc>
        <w:tc>
          <w:tcPr>
            <w:tcW w:w="1100" w:type="dxa"/>
            <w:shd w:val="clear" w:color="auto" w:fill="D9E2F3" w:themeFill="accent5" w:themeFillTint="33"/>
            <w:vAlign w:val="center"/>
          </w:tcPr>
          <w:p w:rsidR="006769E6" w:rsidRPr="00331307" w:rsidRDefault="00F65DE8" w:rsidP="006769E6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>
              <w:rPr>
                <w:rFonts w:eastAsia="Calibri" w:cs="Arial"/>
                <w:b/>
                <w:spacing w:val="0"/>
                <w:sz w:val="18"/>
                <w:szCs w:val="18"/>
              </w:rPr>
              <w:t>Vida útil (anos)</w:t>
            </w:r>
          </w:p>
        </w:tc>
      </w:tr>
      <w:tr w:rsidR="006769E6" w:rsidRPr="00551F85" w:rsidTr="00F65DE8">
        <w:trPr>
          <w:trHeight w:val="414"/>
        </w:trPr>
        <w:tc>
          <w:tcPr>
            <w:tcW w:w="1951" w:type="dxa"/>
            <w:vMerge w:val="restart"/>
            <w:vAlign w:val="center"/>
          </w:tcPr>
          <w:p w:rsidR="006769E6" w:rsidRPr="00331307" w:rsidRDefault="006769E6" w:rsidP="00CB70CF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</w:p>
          <w:p w:rsidR="006769E6" w:rsidRPr="00331307" w:rsidRDefault="006769E6" w:rsidP="00CB70CF">
            <w:pPr>
              <w:ind w:left="0"/>
              <w:jc w:val="center"/>
              <w:rPr>
                <w:rFonts w:eastAsia="Calibri" w:cs="Arial"/>
                <w:b/>
                <w:spacing w:val="0"/>
                <w:sz w:val="18"/>
                <w:szCs w:val="18"/>
              </w:rPr>
            </w:pPr>
            <w:r w:rsidRPr="00331307">
              <w:rPr>
                <w:rFonts w:eastAsia="Calibri" w:cs="Arial"/>
                <w:b/>
                <w:spacing w:val="0"/>
                <w:sz w:val="18"/>
                <w:szCs w:val="18"/>
              </w:rPr>
              <w:t>Iluminação pública, decorativa e semáforos</w:t>
            </w:r>
          </w:p>
        </w:tc>
        <w:tc>
          <w:tcPr>
            <w:tcW w:w="6946" w:type="dxa"/>
            <w:vAlign w:val="center"/>
          </w:tcPr>
          <w:p w:rsidR="006769E6" w:rsidRPr="00331307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 w:rsidRPr="00331307">
              <w:rPr>
                <w:sz w:val="18"/>
                <w:szCs w:val="18"/>
              </w:rPr>
              <w:t>Instalação de Luminária LED, com potência referência de 20 W</w:t>
            </w:r>
          </w:p>
        </w:tc>
        <w:tc>
          <w:tcPr>
            <w:tcW w:w="2693" w:type="dxa"/>
            <w:vAlign w:val="center"/>
          </w:tcPr>
          <w:p w:rsidR="006769E6" w:rsidRPr="00331307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331307">
              <w:rPr>
                <w:sz w:val="18"/>
                <w:szCs w:val="18"/>
              </w:rPr>
              <w:t>70 W</w:t>
            </w:r>
          </w:p>
        </w:tc>
        <w:tc>
          <w:tcPr>
            <w:tcW w:w="2302" w:type="dxa"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331307">
              <w:rPr>
                <w:sz w:val="18"/>
                <w:szCs w:val="18"/>
              </w:rPr>
              <w:t>200 €</w:t>
            </w:r>
          </w:p>
        </w:tc>
        <w:tc>
          <w:tcPr>
            <w:tcW w:w="1100" w:type="dxa"/>
            <w:vAlign w:val="center"/>
          </w:tcPr>
          <w:p w:rsidR="006769E6" w:rsidRPr="00331307" w:rsidRDefault="00F65DE8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769E6" w:rsidRPr="00551F85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Instalação de Luminária LED, com potência referência de 40 W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100 W</w:t>
            </w:r>
          </w:p>
        </w:tc>
        <w:tc>
          <w:tcPr>
            <w:tcW w:w="2302" w:type="dxa"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230 €</w:t>
            </w:r>
          </w:p>
        </w:tc>
        <w:tc>
          <w:tcPr>
            <w:tcW w:w="1100" w:type="dxa"/>
            <w:vAlign w:val="center"/>
          </w:tcPr>
          <w:p w:rsidR="006769E6" w:rsidRDefault="00F65DE8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769E6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Instalação de Luminária LED, com potência referência de 55 W</w:t>
            </w:r>
          </w:p>
        </w:tc>
        <w:tc>
          <w:tcPr>
            <w:tcW w:w="2693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150 W</w:t>
            </w:r>
          </w:p>
        </w:tc>
        <w:tc>
          <w:tcPr>
            <w:tcW w:w="2302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260 €</w:t>
            </w:r>
          </w:p>
        </w:tc>
        <w:tc>
          <w:tcPr>
            <w:tcW w:w="1100" w:type="dxa"/>
            <w:vAlign w:val="center"/>
          </w:tcPr>
          <w:p w:rsidR="006769E6" w:rsidRDefault="00F65DE8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769E6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Pr="00632E6F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Instalação de Luminária LED, com potência referência de 110 W</w:t>
            </w:r>
          </w:p>
        </w:tc>
        <w:tc>
          <w:tcPr>
            <w:tcW w:w="2693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250 W</w:t>
            </w:r>
          </w:p>
        </w:tc>
        <w:tc>
          <w:tcPr>
            <w:tcW w:w="2302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300 €</w:t>
            </w:r>
          </w:p>
        </w:tc>
        <w:tc>
          <w:tcPr>
            <w:tcW w:w="1100" w:type="dxa"/>
            <w:vAlign w:val="center"/>
          </w:tcPr>
          <w:p w:rsidR="006769E6" w:rsidRDefault="00F65DE8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769E6" w:rsidTr="00F65DE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Instalação de óticas LED para semáforos, com potência de referência de 10 W</w:t>
            </w:r>
          </w:p>
        </w:tc>
        <w:tc>
          <w:tcPr>
            <w:tcW w:w="2693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 W ou 100 W</w:t>
            </w:r>
          </w:p>
        </w:tc>
        <w:tc>
          <w:tcPr>
            <w:tcW w:w="2302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65 €</w:t>
            </w:r>
          </w:p>
        </w:tc>
        <w:tc>
          <w:tcPr>
            <w:tcW w:w="1100" w:type="dxa"/>
            <w:vAlign w:val="center"/>
          </w:tcPr>
          <w:p w:rsidR="006769E6" w:rsidRDefault="00F65DE8" w:rsidP="006769E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</w:tr>
      <w:tr w:rsidR="006769E6" w:rsidTr="00807D2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Instalação de luminárias decorativas </w:t>
            </w:r>
          </w:p>
          <w:p w:rsidR="006769E6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(globo) LED</w:t>
            </w:r>
          </w:p>
        </w:tc>
        <w:tc>
          <w:tcPr>
            <w:tcW w:w="2693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>Até 250 W</w:t>
            </w:r>
          </w:p>
        </w:tc>
        <w:tc>
          <w:tcPr>
            <w:tcW w:w="2302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300 €</w:t>
            </w:r>
          </w:p>
        </w:tc>
        <w:tc>
          <w:tcPr>
            <w:tcW w:w="1100" w:type="dxa"/>
            <w:vAlign w:val="center"/>
          </w:tcPr>
          <w:p w:rsidR="006769E6" w:rsidRDefault="00F65DE8" w:rsidP="00F65DE8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769E6" w:rsidTr="00807D2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Instalação de luminárias decorativas </w:t>
            </w:r>
          </w:p>
          <w:p w:rsidR="006769E6" w:rsidRDefault="006769E6" w:rsidP="00E603B6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(projetores) LED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E603B6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 w:rsidRPr="00551F85">
              <w:rPr>
                <w:sz w:val="18"/>
                <w:szCs w:val="18"/>
              </w:rPr>
              <w:t xml:space="preserve">Até </w:t>
            </w:r>
            <w:r>
              <w:rPr>
                <w:sz w:val="18"/>
                <w:szCs w:val="18"/>
              </w:rPr>
              <w:t>150</w:t>
            </w:r>
            <w:r w:rsidRPr="00551F85">
              <w:rPr>
                <w:sz w:val="18"/>
                <w:szCs w:val="18"/>
              </w:rPr>
              <w:t xml:space="preserve"> W</w:t>
            </w:r>
          </w:p>
        </w:tc>
        <w:tc>
          <w:tcPr>
            <w:tcW w:w="2302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500 €</w:t>
            </w:r>
          </w:p>
        </w:tc>
        <w:tc>
          <w:tcPr>
            <w:tcW w:w="1100" w:type="dxa"/>
            <w:vAlign w:val="center"/>
          </w:tcPr>
          <w:p w:rsidR="006769E6" w:rsidRDefault="00F65DE8" w:rsidP="00F65DE8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  <w:tr w:rsidR="006769E6" w:rsidTr="00807D28">
        <w:trPr>
          <w:trHeight w:val="414"/>
        </w:trPr>
        <w:tc>
          <w:tcPr>
            <w:tcW w:w="1951" w:type="dxa"/>
            <w:vMerge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</w:p>
        </w:tc>
        <w:tc>
          <w:tcPr>
            <w:tcW w:w="6946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Sistemas de telegestão a instalar nos sistemas de iluminação pública</w:t>
            </w:r>
          </w:p>
        </w:tc>
        <w:tc>
          <w:tcPr>
            <w:tcW w:w="2693" w:type="dxa"/>
            <w:vAlign w:val="center"/>
          </w:tcPr>
          <w:p w:rsidR="006769E6" w:rsidRPr="00551F85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n.a.</w:t>
            </w:r>
          </w:p>
        </w:tc>
        <w:tc>
          <w:tcPr>
            <w:tcW w:w="2302" w:type="dxa"/>
            <w:vAlign w:val="center"/>
          </w:tcPr>
          <w:p w:rsidR="006769E6" w:rsidRDefault="006769E6" w:rsidP="00CB70CF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35 €/luminária</w:t>
            </w:r>
          </w:p>
        </w:tc>
        <w:tc>
          <w:tcPr>
            <w:tcW w:w="1100" w:type="dxa"/>
            <w:vAlign w:val="center"/>
          </w:tcPr>
          <w:p w:rsidR="006769E6" w:rsidRDefault="00F65DE8" w:rsidP="00F65DE8">
            <w:pPr>
              <w:tabs>
                <w:tab w:val="left" w:pos="3675"/>
              </w:tabs>
              <w:ind w:left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</w:tr>
    </w:tbl>
    <w:p w:rsidR="00FF2894" w:rsidRDefault="00FF2894" w:rsidP="00505BC6">
      <w:pPr>
        <w:spacing w:after="200" w:line="320" w:lineRule="exact"/>
        <w:ind w:left="0"/>
        <w:jc w:val="both"/>
        <w:rPr>
          <w:rFonts w:cs="Arial"/>
          <w:i/>
          <w:spacing w:val="0"/>
          <w:lang w:eastAsia="pt-PT"/>
        </w:rPr>
      </w:pPr>
    </w:p>
    <w:p w:rsidR="00FF2894" w:rsidRDefault="00FF2894" w:rsidP="00505BC6">
      <w:pPr>
        <w:spacing w:after="200" w:line="320" w:lineRule="exact"/>
        <w:ind w:left="0"/>
        <w:jc w:val="both"/>
        <w:rPr>
          <w:rFonts w:cs="Arial"/>
          <w:i/>
          <w:spacing w:val="0"/>
          <w:lang w:eastAsia="pt-PT"/>
        </w:rPr>
      </w:pPr>
    </w:p>
    <w:p w:rsidR="00505BC6" w:rsidRPr="00A363FC" w:rsidRDefault="00505BC6" w:rsidP="00505BC6">
      <w:pPr>
        <w:spacing w:after="200" w:line="320" w:lineRule="exact"/>
        <w:ind w:left="0"/>
        <w:jc w:val="both"/>
        <w:rPr>
          <w:rFonts w:cs="Arial"/>
          <w:i/>
          <w:spacing w:val="0"/>
          <w:lang w:eastAsia="pt-PT"/>
        </w:rPr>
      </w:pPr>
      <w:r w:rsidRPr="00A363FC">
        <w:rPr>
          <w:rFonts w:cs="Arial"/>
          <w:i/>
          <w:spacing w:val="0"/>
          <w:lang w:eastAsia="pt-PT"/>
        </w:rPr>
        <w:t>Fonte: Direção</w:t>
      </w:r>
      <w:r w:rsidR="00A0085B">
        <w:rPr>
          <w:rFonts w:cs="Arial"/>
          <w:i/>
          <w:spacing w:val="0"/>
          <w:lang w:eastAsia="pt-PT"/>
        </w:rPr>
        <w:t>-</w:t>
      </w:r>
      <w:r w:rsidRPr="00A363FC">
        <w:rPr>
          <w:rFonts w:cs="Arial"/>
          <w:i/>
          <w:spacing w:val="0"/>
          <w:lang w:eastAsia="pt-PT"/>
        </w:rPr>
        <w:t>Geral de Energia e Geologia</w:t>
      </w:r>
      <w:r w:rsidR="00F65DE8">
        <w:rPr>
          <w:rFonts w:cs="Arial"/>
          <w:i/>
          <w:spacing w:val="0"/>
          <w:lang w:eastAsia="pt-PT"/>
        </w:rPr>
        <w:t xml:space="preserve"> (setembro de 2016)</w:t>
      </w:r>
    </w:p>
    <w:p w:rsidR="003A3A9F" w:rsidRPr="00505BC6" w:rsidRDefault="003A3A9F" w:rsidP="0050142D">
      <w:pPr>
        <w:spacing w:after="200" w:line="320" w:lineRule="exact"/>
        <w:ind w:left="0"/>
        <w:jc w:val="both"/>
        <w:rPr>
          <w:rFonts w:eastAsia="Calibri" w:cs="Arial"/>
          <w:bCs/>
          <w:spacing w:val="0"/>
          <w:szCs w:val="22"/>
        </w:rPr>
      </w:pPr>
    </w:p>
    <w:sectPr w:rsidR="003A3A9F" w:rsidRPr="00505BC6" w:rsidSect="00873E92">
      <w:pgSz w:w="16838" w:h="11906" w:orient="landscape"/>
      <w:pgMar w:top="1276" w:right="2268" w:bottom="1418" w:left="1418" w:header="709" w:footer="709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6063C0DD" w15:done="0"/>
  <w15:commentEx w15:paraId="57F27B3C" w15:done="0"/>
  <w15:commentEx w15:paraId="451C11B1" w15:done="0"/>
  <w15:commentEx w15:paraId="2AF01B04" w15:done="0"/>
  <w15:commentEx w15:paraId="084C8CD6" w15:done="0"/>
  <w15:commentEx w15:paraId="0BAFCF6C" w15:done="0"/>
  <w15:commentEx w15:paraId="19F63AC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38DA" w:rsidRDefault="003138DA">
      <w:r>
        <w:separator/>
      </w:r>
    </w:p>
  </w:endnote>
  <w:endnote w:type="continuationSeparator" w:id="0">
    <w:p w:rsidR="003138DA" w:rsidRDefault="003138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AD" w:rsidRDefault="00F93BAD">
    <w:pPr>
      <w:pStyle w:val="Rodap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4526010"/>
      <w:docPartObj>
        <w:docPartGallery w:val="Page Numbers (Bottom of Page)"/>
        <w:docPartUnique/>
      </w:docPartObj>
    </w:sdtPr>
    <w:sdtContent>
      <w:p w:rsidR="00AD2D32" w:rsidRDefault="00F93BAD" w:rsidP="009923F2">
        <w:pPr>
          <w:pStyle w:val="Rodap"/>
          <w:jc w:val="left"/>
        </w:pPr>
        <w:r>
          <w:t xml:space="preserve">Anexo I e II do </w:t>
        </w:r>
        <w:r w:rsidRPr="00F93BAD">
          <w:t>AVISO Nº LISBOA -03 -2016-1</w:t>
        </w:r>
        <w:r w:rsidR="006C60DA">
          <w:t>7</w:t>
        </w:r>
        <w:r w:rsidR="00AD2D32" w:rsidRPr="009923F2">
          <w:tab/>
        </w:r>
        <w:r w:rsidR="00AD2D32">
          <w:tab/>
        </w:r>
        <w:r w:rsidR="00AD2D32">
          <w:tab/>
        </w:r>
        <w:r w:rsidR="00AD2D32">
          <w:tab/>
        </w:r>
        <w:r w:rsidR="00AD2D32">
          <w:tab/>
        </w:r>
        <w:r w:rsidR="00AD2D32">
          <w:tab/>
        </w:r>
        <w:r w:rsidR="00AD2D32">
          <w:tab/>
          <w:t xml:space="preserve">Página | </w:t>
        </w:r>
        <w:r w:rsidR="00CA13D8">
          <w:fldChar w:fldCharType="begin"/>
        </w:r>
        <w:r w:rsidR="00AD2D32">
          <w:instrText>PAGE   \* MERGEFORMAT</w:instrText>
        </w:r>
        <w:r w:rsidR="00CA13D8">
          <w:fldChar w:fldCharType="separate"/>
        </w:r>
        <w:r w:rsidR="00F749B0">
          <w:rPr>
            <w:noProof/>
          </w:rPr>
          <w:t>1</w:t>
        </w:r>
        <w:r w:rsidR="00CA13D8">
          <w:fldChar w:fldCharType="end"/>
        </w:r>
      </w:p>
    </w:sdtContent>
  </w:sdt>
  <w:p w:rsidR="00AD2D32" w:rsidRPr="00A25913" w:rsidRDefault="00AD2D32" w:rsidP="00E772FE">
    <w:pPr>
      <w:pStyle w:val="Rodap"/>
      <w:spacing w:before="0" w:line="240" w:lineRule="auto"/>
      <w:ind w:left="833"/>
      <w:jc w:val="right"/>
      <w:rPr>
        <w:rFonts w:asciiTheme="minorHAnsi" w:hAnsiTheme="minorHAnsi"/>
        <w:sz w:val="28"/>
        <w:szCs w:val="28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AD" w:rsidRDefault="00F93BA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38DA" w:rsidRDefault="003138DA">
      <w:r>
        <w:separator/>
      </w:r>
    </w:p>
  </w:footnote>
  <w:footnote w:type="continuationSeparator" w:id="0">
    <w:p w:rsidR="003138DA" w:rsidRDefault="003138D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93BAD" w:rsidRDefault="00F93BAD">
    <w:pPr>
      <w:pStyle w:val="Cabealh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D32" w:rsidRDefault="00AD2D32" w:rsidP="00E772FE">
    <w:pPr>
      <w:pStyle w:val="Cabealho"/>
      <w:tabs>
        <w:tab w:val="clear" w:pos="4320"/>
      </w:tabs>
      <w:spacing w:before="20" w:after="20"/>
      <w:ind w:left="-142" w:firstLine="14"/>
      <w:jc w:val="left"/>
      <w:rPr>
        <w:rStyle w:val="MessageHeaderLabel"/>
        <w:b w:val="0"/>
        <w:szCs w:val="18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D32" w:rsidRDefault="00AD2D32" w:rsidP="00E772FE">
    <w:pPr>
      <w:pStyle w:val="Cabealho"/>
      <w:tabs>
        <w:tab w:val="clear" w:pos="4320"/>
        <w:tab w:val="clear" w:pos="8640"/>
      </w:tabs>
      <w:ind w:left="-142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-970232</wp:posOffset>
          </wp:positionH>
          <wp:positionV relativeFrom="paragraph">
            <wp:posOffset>-193675</wp:posOffset>
          </wp:positionV>
          <wp:extent cx="7601803" cy="10752223"/>
          <wp:effectExtent l="0" t="0" r="0" b="0"/>
          <wp:wrapNone/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roposta6-0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1803" cy="10752223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B6279B"/>
    <w:multiLevelType w:val="multilevel"/>
    <w:tmpl w:val="8D0A62F8"/>
    <w:lvl w:ilvl="0">
      <w:start w:val="1"/>
      <w:numFmt w:val="decimal"/>
      <w:pStyle w:val="Ttulo1"/>
      <w:lvlText w:val="%1."/>
      <w:lvlJc w:val="left"/>
      <w:pPr>
        <w:ind w:left="1555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ind w:left="1630" w:hanging="435"/>
      </w:pPr>
      <w:rPr>
        <w:rFonts w:ascii="Arial" w:hAnsi="Arial" w:cs="Arial" w:hint="default"/>
        <w:b w:val="0"/>
        <w:i w:val="0"/>
        <w:sz w:val="20"/>
      </w:rPr>
    </w:lvl>
    <w:lvl w:ilvl="2">
      <w:start w:val="1"/>
      <w:numFmt w:val="decimal"/>
      <w:isLgl/>
      <w:lvlText w:val="%1.%2.%3."/>
      <w:lvlJc w:val="left"/>
      <w:pPr>
        <w:ind w:left="191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1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7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7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3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3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5" w:hanging="1440"/>
      </w:pPr>
      <w:rPr>
        <w:rFonts w:hint="default"/>
      </w:rPr>
    </w:lvl>
  </w:abstractNum>
  <w:abstractNum w:abstractNumId="1">
    <w:nsid w:val="213B1B64"/>
    <w:multiLevelType w:val="multilevel"/>
    <w:tmpl w:val="0816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47B3E13"/>
    <w:multiLevelType w:val="hybridMultilevel"/>
    <w:tmpl w:val="2F66C2D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3AD358A"/>
    <w:multiLevelType w:val="hybridMultilevel"/>
    <w:tmpl w:val="6F9417F0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A7023DC"/>
    <w:multiLevelType w:val="hybridMultilevel"/>
    <w:tmpl w:val="B89255BA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CB77247"/>
    <w:multiLevelType w:val="hybridMultilevel"/>
    <w:tmpl w:val="D92ADD1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A1D0A7D"/>
    <w:multiLevelType w:val="hybridMultilevel"/>
    <w:tmpl w:val="E9CA9C04"/>
    <w:lvl w:ilvl="0" w:tplc="D46E1D9A">
      <w:start w:val="1"/>
      <w:numFmt w:val="decimal"/>
      <w:pStyle w:val="Ttulo2"/>
      <w:lvlText w:val="1.%1"/>
      <w:lvlJc w:val="left"/>
      <w:pPr>
        <w:ind w:left="360" w:hanging="360"/>
      </w:pPr>
      <w:rPr>
        <w:rFonts w:hint="default"/>
        <w:b w:val="0"/>
      </w:rPr>
    </w:lvl>
    <w:lvl w:ilvl="1" w:tplc="08160019" w:tentative="1">
      <w:start w:val="1"/>
      <w:numFmt w:val="lowerLetter"/>
      <w:lvlText w:val="%2."/>
      <w:lvlJc w:val="left"/>
      <w:pPr>
        <w:ind w:left="1080" w:hanging="360"/>
      </w:pPr>
    </w:lvl>
    <w:lvl w:ilvl="2" w:tplc="0816001B" w:tentative="1">
      <w:start w:val="1"/>
      <w:numFmt w:val="lowerRoman"/>
      <w:lvlText w:val="%3."/>
      <w:lvlJc w:val="right"/>
      <w:pPr>
        <w:ind w:left="1800" w:hanging="180"/>
      </w:pPr>
    </w:lvl>
    <w:lvl w:ilvl="3" w:tplc="0816000F" w:tentative="1">
      <w:start w:val="1"/>
      <w:numFmt w:val="decimal"/>
      <w:lvlText w:val="%4."/>
      <w:lvlJc w:val="left"/>
      <w:pPr>
        <w:ind w:left="2520" w:hanging="360"/>
      </w:pPr>
    </w:lvl>
    <w:lvl w:ilvl="4" w:tplc="08160019" w:tentative="1">
      <w:start w:val="1"/>
      <w:numFmt w:val="lowerLetter"/>
      <w:lvlText w:val="%5."/>
      <w:lvlJc w:val="left"/>
      <w:pPr>
        <w:ind w:left="3240" w:hanging="360"/>
      </w:pPr>
    </w:lvl>
    <w:lvl w:ilvl="5" w:tplc="0816001B" w:tentative="1">
      <w:start w:val="1"/>
      <w:numFmt w:val="lowerRoman"/>
      <w:lvlText w:val="%6."/>
      <w:lvlJc w:val="right"/>
      <w:pPr>
        <w:ind w:left="3960" w:hanging="180"/>
      </w:pPr>
    </w:lvl>
    <w:lvl w:ilvl="6" w:tplc="0816000F" w:tentative="1">
      <w:start w:val="1"/>
      <w:numFmt w:val="decimal"/>
      <w:lvlText w:val="%7."/>
      <w:lvlJc w:val="left"/>
      <w:pPr>
        <w:ind w:left="4680" w:hanging="360"/>
      </w:pPr>
    </w:lvl>
    <w:lvl w:ilvl="7" w:tplc="08160019" w:tentative="1">
      <w:start w:val="1"/>
      <w:numFmt w:val="lowerLetter"/>
      <w:lvlText w:val="%8."/>
      <w:lvlJc w:val="left"/>
      <w:pPr>
        <w:ind w:left="5400" w:hanging="360"/>
      </w:pPr>
    </w:lvl>
    <w:lvl w:ilvl="8" w:tplc="0816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6"/>
  </w:num>
  <w:num w:numId="3">
    <w:abstractNumId w:val="1"/>
  </w:num>
  <w:num w:numId="4">
    <w:abstractNumId w:val="3"/>
  </w:num>
  <w:num w:numId="5">
    <w:abstractNumId w:val="4"/>
  </w:num>
  <w:num w:numId="6">
    <w:abstractNumId w:val="2"/>
  </w:num>
  <w:num w:numId="7">
    <w:abstractNumId w:val="5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Vanda Sousa">
    <w15:presenceInfo w15:providerId="None" w15:userId="Vanda Sousa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/>
  <w:rsids>
    <w:rsidRoot w:val="007E7DF7"/>
    <w:rsid w:val="000103A3"/>
    <w:rsid w:val="000212A3"/>
    <w:rsid w:val="0003415A"/>
    <w:rsid w:val="000379E7"/>
    <w:rsid w:val="000477EF"/>
    <w:rsid w:val="00052C74"/>
    <w:rsid w:val="00084B99"/>
    <w:rsid w:val="00090273"/>
    <w:rsid w:val="000C1320"/>
    <w:rsid w:val="000C34BE"/>
    <w:rsid w:val="000C5DF0"/>
    <w:rsid w:val="000D3306"/>
    <w:rsid w:val="000D7808"/>
    <w:rsid w:val="000E2564"/>
    <w:rsid w:val="00100E31"/>
    <w:rsid w:val="00101510"/>
    <w:rsid w:val="00106B36"/>
    <w:rsid w:val="00121801"/>
    <w:rsid w:val="0012671A"/>
    <w:rsid w:val="00131125"/>
    <w:rsid w:val="001407FE"/>
    <w:rsid w:val="00141125"/>
    <w:rsid w:val="00155536"/>
    <w:rsid w:val="00156787"/>
    <w:rsid w:val="00157402"/>
    <w:rsid w:val="0017145C"/>
    <w:rsid w:val="0017202C"/>
    <w:rsid w:val="001731E6"/>
    <w:rsid w:val="0017766C"/>
    <w:rsid w:val="00184016"/>
    <w:rsid w:val="001969D8"/>
    <w:rsid w:val="001A033F"/>
    <w:rsid w:val="001A1E75"/>
    <w:rsid w:val="001B60E9"/>
    <w:rsid w:val="001C1B40"/>
    <w:rsid w:val="001D1D46"/>
    <w:rsid w:val="001D71ED"/>
    <w:rsid w:val="001E6777"/>
    <w:rsid w:val="001F3561"/>
    <w:rsid w:val="001F4C9F"/>
    <w:rsid w:val="00200180"/>
    <w:rsid w:val="00210603"/>
    <w:rsid w:val="00216E0F"/>
    <w:rsid w:val="00231E37"/>
    <w:rsid w:val="0023373D"/>
    <w:rsid w:val="0024566A"/>
    <w:rsid w:val="002550BE"/>
    <w:rsid w:val="00257D67"/>
    <w:rsid w:val="0026201E"/>
    <w:rsid w:val="0027322A"/>
    <w:rsid w:val="00276C2A"/>
    <w:rsid w:val="00282382"/>
    <w:rsid w:val="00282C41"/>
    <w:rsid w:val="00284D18"/>
    <w:rsid w:val="00287E4C"/>
    <w:rsid w:val="00290815"/>
    <w:rsid w:val="00291324"/>
    <w:rsid w:val="002973A4"/>
    <w:rsid w:val="002A0BAE"/>
    <w:rsid w:val="002A24B6"/>
    <w:rsid w:val="002C4B46"/>
    <w:rsid w:val="002D0DB8"/>
    <w:rsid w:val="002D2E1E"/>
    <w:rsid w:val="002D5841"/>
    <w:rsid w:val="002D66DD"/>
    <w:rsid w:val="002D75C0"/>
    <w:rsid w:val="002D76D0"/>
    <w:rsid w:val="002F3713"/>
    <w:rsid w:val="002F45C2"/>
    <w:rsid w:val="002F4740"/>
    <w:rsid w:val="00305113"/>
    <w:rsid w:val="0031388F"/>
    <w:rsid w:val="003138DA"/>
    <w:rsid w:val="00323A05"/>
    <w:rsid w:val="00330093"/>
    <w:rsid w:val="00331307"/>
    <w:rsid w:val="0035517E"/>
    <w:rsid w:val="00355309"/>
    <w:rsid w:val="0036193E"/>
    <w:rsid w:val="00365138"/>
    <w:rsid w:val="00387F0C"/>
    <w:rsid w:val="003A3A9F"/>
    <w:rsid w:val="003A45DB"/>
    <w:rsid w:val="003A77A8"/>
    <w:rsid w:val="003B7CEC"/>
    <w:rsid w:val="003C1D81"/>
    <w:rsid w:val="003E165C"/>
    <w:rsid w:val="003E2CD2"/>
    <w:rsid w:val="003E7932"/>
    <w:rsid w:val="003F08B2"/>
    <w:rsid w:val="003F1B13"/>
    <w:rsid w:val="00403C55"/>
    <w:rsid w:val="00403CF9"/>
    <w:rsid w:val="00410B34"/>
    <w:rsid w:val="004158E6"/>
    <w:rsid w:val="00425E81"/>
    <w:rsid w:val="00426024"/>
    <w:rsid w:val="00431BB5"/>
    <w:rsid w:val="00435433"/>
    <w:rsid w:val="00444067"/>
    <w:rsid w:val="004443A8"/>
    <w:rsid w:val="00446EA8"/>
    <w:rsid w:val="00453652"/>
    <w:rsid w:val="0046467C"/>
    <w:rsid w:val="00474AF3"/>
    <w:rsid w:val="0048203D"/>
    <w:rsid w:val="00486645"/>
    <w:rsid w:val="0049174B"/>
    <w:rsid w:val="004A7C9D"/>
    <w:rsid w:val="004C6C1E"/>
    <w:rsid w:val="004D206F"/>
    <w:rsid w:val="004D50CF"/>
    <w:rsid w:val="004D7E9B"/>
    <w:rsid w:val="004F14FB"/>
    <w:rsid w:val="004F3CB5"/>
    <w:rsid w:val="0050142D"/>
    <w:rsid w:val="005026CA"/>
    <w:rsid w:val="00505BC6"/>
    <w:rsid w:val="005152B8"/>
    <w:rsid w:val="005221E3"/>
    <w:rsid w:val="00526ADB"/>
    <w:rsid w:val="00532145"/>
    <w:rsid w:val="005463DE"/>
    <w:rsid w:val="00551F85"/>
    <w:rsid w:val="00557A88"/>
    <w:rsid w:val="00560AA1"/>
    <w:rsid w:val="005623DB"/>
    <w:rsid w:val="005722E2"/>
    <w:rsid w:val="00580B78"/>
    <w:rsid w:val="005813E1"/>
    <w:rsid w:val="00583C04"/>
    <w:rsid w:val="00584BEE"/>
    <w:rsid w:val="00585829"/>
    <w:rsid w:val="005A4896"/>
    <w:rsid w:val="005B3172"/>
    <w:rsid w:val="005C4686"/>
    <w:rsid w:val="005C515F"/>
    <w:rsid w:val="005D266B"/>
    <w:rsid w:val="005D4EA0"/>
    <w:rsid w:val="005F6824"/>
    <w:rsid w:val="00601A01"/>
    <w:rsid w:val="00616F27"/>
    <w:rsid w:val="006235D6"/>
    <w:rsid w:val="00632E6F"/>
    <w:rsid w:val="006378A6"/>
    <w:rsid w:val="00643CF1"/>
    <w:rsid w:val="00645D0D"/>
    <w:rsid w:val="006560F9"/>
    <w:rsid w:val="0066377E"/>
    <w:rsid w:val="006748B6"/>
    <w:rsid w:val="006769E6"/>
    <w:rsid w:val="006818D3"/>
    <w:rsid w:val="006838A2"/>
    <w:rsid w:val="00683EFA"/>
    <w:rsid w:val="006863C6"/>
    <w:rsid w:val="00690FB6"/>
    <w:rsid w:val="0069683E"/>
    <w:rsid w:val="006A20D0"/>
    <w:rsid w:val="006A38C0"/>
    <w:rsid w:val="006A66B6"/>
    <w:rsid w:val="006B77B7"/>
    <w:rsid w:val="006C1622"/>
    <w:rsid w:val="006C60DA"/>
    <w:rsid w:val="006C7B8E"/>
    <w:rsid w:val="006D6168"/>
    <w:rsid w:val="006E428E"/>
    <w:rsid w:val="006F59CD"/>
    <w:rsid w:val="006F785B"/>
    <w:rsid w:val="00702D92"/>
    <w:rsid w:val="00703EF6"/>
    <w:rsid w:val="007104FC"/>
    <w:rsid w:val="00710DDD"/>
    <w:rsid w:val="007218AD"/>
    <w:rsid w:val="00723212"/>
    <w:rsid w:val="007256F7"/>
    <w:rsid w:val="00727AF7"/>
    <w:rsid w:val="0073440E"/>
    <w:rsid w:val="00737491"/>
    <w:rsid w:val="00775AFC"/>
    <w:rsid w:val="00776988"/>
    <w:rsid w:val="00776C48"/>
    <w:rsid w:val="0078180D"/>
    <w:rsid w:val="007822EA"/>
    <w:rsid w:val="00792198"/>
    <w:rsid w:val="007A06E6"/>
    <w:rsid w:val="007A591F"/>
    <w:rsid w:val="007C4B8B"/>
    <w:rsid w:val="007C73AE"/>
    <w:rsid w:val="007D40C9"/>
    <w:rsid w:val="007D4DA1"/>
    <w:rsid w:val="007D6C18"/>
    <w:rsid w:val="007E3B6F"/>
    <w:rsid w:val="007E4F16"/>
    <w:rsid w:val="007E598C"/>
    <w:rsid w:val="007E7DF7"/>
    <w:rsid w:val="008012F7"/>
    <w:rsid w:val="0080250B"/>
    <w:rsid w:val="00807A6F"/>
    <w:rsid w:val="00807D28"/>
    <w:rsid w:val="00813543"/>
    <w:rsid w:val="008167E1"/>
    <w:rsid w:val="00820CF2"/>
    <w:rsid w:val="00827F51"/>
    <w:rsid w:val="00836123"/>
    <w:rsid w:val="00842DC0"/>
    <w:rsid w:val="00844665"/>
    <w:rsid w:val="008518C3"/>
    <w:rsid w:val="00855D07"/>
    <w:rsid w:val="00863563"/>
    <w:rsid w:val="008678F6"/>
    <w:rsid w:val="00873E92"/>
    <w:rsid w:val="00875439"/>
    <w:rsid w:val="008814B1"/>
    <w:rsid w:val="00891641"/>
    <w:rsid w:val="008B2E67"/>
    <w:rsid w:val="008C0159"/>
    <w:rsid w:val="008C2C84"/>
    <w:rsid w:val="008C5EDB"/>
    <w:rsid w:val="008D493F"/>
    <w:rsid w:val="008D54B7"/>
    <w:rsid w:val="008E7D51"/>
    <w:rsid w:val="009021E1"/>
    <w:rsid w:val="00920C6F"/>
    <w:rsid w:val="00924EE9"/>
    <w:rsid w:val="009255E1"/>
    <w:rsid w:val="00930001"/>
    <w:rsid w:val="0093103D"/>
    <w:rsid w:val="00953659"/>
    <w:rsid w:val="00970536"/>
    <w:rsid w:val="00973BD3"/>
    <w:rsid w:val="009923F2"/>
    <w:rsid w:val="00992B51"/>
    <w:rsid w:val="00995F0F"/>
    <w:rsid w:val="00997FD6"/>
    <w:rsid w:val="009A27CC"/>
    <w:rsid w:val="009A63DE"/>
    <w:rsid w:val="009D33DA"/>
    <w:rsid w:val="009D3550"/>
    <w:rsid w:val="009D3DFA"/>
    <w:rsid w:val="009F2BCD"/>
    <w:rsid w:val="009F2F22"/>
    <w:rsid w:val="00A0085B"/>
    <w:rsid w:val="00A05769"/>
    <w:rsid w:val="00A22AC0"/>
    <w:rsid w:val="00A337BD"/>
    <w:rsid w:val="00A342B8"/>
    <w:rsid w:val="00A354B4"/>
    <w:rsid w:val="00A363FC"/>
    <w:rsid w:val="00A45F88"/>
    <w:rsid w:val="00A527C4"/>
    <w:rsid w:val="00A544A0"/>
    <w:rsid w:val="00A564FE"/>
    <w:rsid w:val="00A66F90"/>
    <w:rsid w:val="00A8261E"/>
    <w:rsid w:val="00A905C4"/>
    <w:rsid w:val="00A95820"/>
    <w:rsid w:val="00A972F9"/>
    <w:rsid w:val="00AC00CA"/>
    <w:rsid w:val="00AC4497"/>
    <w:rsid w:val="00AC48DA"/>
    <w:rsid w:val="00AC6141"/>
    <w:rsid w:val="00AD2D32"/>
    <w:rsid w:val="00AD5506"/>
    <w:rsid w:val="00AE1E4C"/>
    <w:rsid w:val="00AF374C"/>
    <w:rsid w:val="00AF44DC"/>
    <w:rsid w:val="00AF4F13"/>
    <w:rsid w:val="00AF620B"/>
    <w:rsid w:val="00AF7520"/>
    <w:rsid w:val="00B117F7"/>
    <w:rsid w:val="00B14684"/>
    <w:rsid w:val="00B174D6"/>
    <w:rsid w:val="00B35B93"/>
    <w:rsid w:val="00B61887"/>
    <w:rsid w:val="00B62165"/>
    <w:rsid w:val="00B630F5"/>
    <w:rsid w:val="00B73D7B"/>
    <w:rsid w:val="00B93286"/>
    <w:rsid w:val="00BA2CE4"/>
    <w:rsid w:val="00BA5DF9"/>
    <w:rsid w:val="00BB331F"/>
    <w:rsid w:val="00BB3E47"/>
    <w:rsid w:val="00BB65BC"/>
    <w:rsid w:val="00BC26F9"/>
    <w:rsid w:val="00BD680D"/>
    <w:rsid w:val="00BE602B"/>
    <w:rsid w:val="00BF0876"/>
    <w:rsid w:val="00BF34AD"/>
    <w:rsid w:val="00C02877"/>
    <w:rsid w:val="00C169F4"/>
    <w:rsid w:val="00C27EA3"/>
    <w:rsid w:val="00C4040B"/>
    <w:rsid w:val="00C411D7"/>
    <w:rsid w:val="00C41FBF"/>
    <w:rsid w:val="00C536FF"/>
    <w:rsid w:val="00C575D7"/>
    <w:rsid w:val="00C57ADB"/>
    <w:rsid w:val="00C630AF"/>
    <w:rsid w:val="00C7325A"/>
    <w:rsid w:val="00C819BC"/>
    <w:rsid w:val="00C97957"/>
    <w:rsid w:val="00CA13D8"/>
    <w:rsid w:val="00CA4B28"/>
    <w:rsid w:val="00CB0F5C"/>
    <w:rsid w:val="00CB2565"/>
    <w:rsid w:val="00CB70CF"/>
    <w:rsid w:val="00CB7504"/>
    <w:rsid w:val="00CC264C"/>
    <w:rsid w:val="00CC3100"/>
    <w:rsid w:val="00CD4B63"/>
    <w:rsid w:val="00CD5AE1"/>
    <w:rsid w:val="00CE4CA5"/>
    <w:rsid w:val="00CE720D"/>
    <w:rsid w:val="00CF0CAB"/>
    <w:rsid w:val="00CF29C4"/>
    <w:rsid w:val="00CF4B59"/>
    <w:rsid w:val="00CF6429"/>
    <w:rsid w:val="00D02DE0"/>
    <w:rsid w:val="00D04B8C"/>
    <w:rsid w:val="00D07E1C"/>
    <w:rsid w:val="00D107E9"/>
    <w:rsid w:val="00D13168"/>
    <w:rsid w:val="00D2332F"/>
    <w:rsid w:val="00D35833"/>
    <w:rsid w:val="00D5401D"/>
    <w:rsid w:val="00D650F5"/>
    <w:rsid w:val="00D662D5"/>
    <w:rsid w:val="00D727F9"/>
    <w:rsid w:val="00D800B0"/>
    <w:rsid w:val="00D8587B"/>
    <w:rsid w:val="00DA4FF3"/>
    <w:rsid w:val="00DB61EB"/>
    <w:rsid w:val="00DC5B3F"/>
    <w:rsid w:val="00DC693B"/>
    <w:rsid w:val="00DE31C9"/>
    <w:rsid w:val="00DE3DC8"/>
    <w:rsid w:val="00DE442E"/>
    <w:rsid w:val="00DF196C"/>
    <w:rsid w:val="00DF2A9D"/>
    <w:rsid w:val="00E01B49"/>
    <w:rsid w:val="00E07A61"/>
    <w:rsid w:val="00E135B9"/>
    <w:rsid w:val="00E14ED2"/>
    <w:rsid w:val="00E20A71"/>
    <w:rsid w:val="00E249F9"/>
    <w:rsid w:val="00E46F06"/>
    <w:rsid w:val="00E603B6"/>
    <w:rsid w:val="00E63876"/>
    <w:rsid w:val="00E65AC8"/>
    <w:rsid w:val="00E67650"/>
    <w:rsid w:val="00E772FE"/>
    <w:rsid w:val="00E8737F"/>
    <w:rsid w:val="00E902E2"/>
    <w:rsid w:val="00EA4A5B"/>
    <w:rsid w:val="00EA5321"/>
    <w:rsid w:val="00EB674E"/>
    <w:rsid w:val="00EC732D"/>
    <w:rsid w:val="00ED14A8"/>
    <w:rsid w:val="00ED58C0"/>
    <w:rsid w:val="00ED6D52"/>
    <w:rsid w:val="00EE286B"/>
    <w:rsid w:val="00EE5C6A"/>
    <w:rsid w:val="00F0347C"/>
    <w:rsid w:val="00F03D99"/>
    <w:rsid w:val="00F05119"/>
    <w:rsid w:val="00F1062F"/>
    <w:rsid w:val="00F12FCE"/>
    <w:rsid w:val="00F308A8"/>
    <w:rsid w:val="00F46EF8"/>
    <w:rsid w:val="00F50D98"/>
    <w:rsid w:val="00F64DC3"/>
    <w:rsid w:val="00F65740"/>
    <w:rsid w:val="00F65DE8"/>
    <w:rsid w:val="00F73852"/>
    <w:rsid w:val="00F749B0"/>
    <w:rsid w:val="00F8264A"/>
    <w:rsid w:val="00F93BAD"/>
    <w:rsid w:val="00F94ED1"/>
    <w:rsid w:val="00F95BEF"/>
    <w:rsid w:val="00FA0802"/>
    <w:rsid w:val="00FA3F9B"/>
    <w:rsid w:val="00FA77BB"/>
    <w:rsid w:val="00FC020E"/>
    <w:rsid w:val="00FE285B"/>
    <w:rsid w:val="00FF2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1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Ttulo1">
    <w:name w:val="heading 1"/>
    <w:basedOn w:val="Normal"/>
    <w:next w:val="Normal"/>
    <w:link w:val="Ttulo1Carcter"/>
    <w:autoRedefine/>
    <w:uiPriority w:val="9"/>
    <w:qFormat/>
    <w:rsid w:val="00C411D7"/>
    <w:pPr>
      <w:keepNext/>
      <w:keepLines/>
      <w:numPr>
        <w:numId w:val="1"/>
      </w:numPr>
      <w:spacing w:before="360" w:after="240" w:line="360" w:lineRule="auto"/>
      <w:ind w:left="426" w:hanging="426"/>
      <w:outlineLvl w:val="0"/>
    </w:pPr>
    <w:rPr>
      <w:rFonts w:eastAsiaTheme="majorEastAsia" w:cs="Arial"/>
      <w:b/>
      <w:smallCaps/>
      <w:sz w:val="22"/>
      <w:szCs w:val="32"/>
    </w:rPr>
  </w:style>
  <w:style w:type="paragraph" w:styleId="Ttulo2">
    <w:name w:val="heading 2"/>
    <w:basedOn w:val="Normal"/>
    <w:next w:val="Normal"/>
    <w:link w:val="Ttulo2Carcter"/>
    <w:autoRedefine/>
    <w:uiPriority w:val="9"/>
    <w:unhideWhenUsed/>
    <w:qFormat/>
    <w:rsid w:val="00E67650"/>
    <w:pPr>
      <w:keepNext/>
      <w:keepLines/>
      <w:numPr>
        <w:numId w:val="2"/>
      </w:numPr>
      <w:spacing w:before="40"/>
      <w:outlineLvl w:val="1"/>
    </w:pPr>
    <w:rPr>
      <w:rFonts w:eastAsiaTheme="majorEastAsia" w:cstheme="majorBidi"/>
      <w:szCs w:val="26"/>
      <w:lang w:eastAsia="pt-PT"/>
    </w:rPr>
  </w:style>
  <w:style w:type="paragraph" w:styleId="Ttulo3">
    <w:name w:val="heading 3"/>
    <w:basedOn w:val="Normal"/>
    <w:next w:val="Normal"/>
    <w:link w:val="Ttulo3Carcter"/>
    <w:uiPriority w:val="9"/>
    <w:unhideWhenUsed/>
    <w:qFormat/>
    <w:rsid w:val="000C13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7E7DF7"/>
    <w:pPr>
      <w:spacing w:after="220" w:line="180" w:lineRule="atLeast"/>
      <w:jc w:val="both"/>
    </w:pPr>
  </w:style>
  <w:style w:type="character" w:customStyle="1" w:styleId="CorpodetextoCarcter">
    <w:name w:val="Corpo de texto Carácter"/>
    <w:basedOn w:val="Tipodeletrapredefinidodopargrafo"/>
    <w:link w:val="Corpodetexto"/>
    <w:rsid w:val="007E7DF7"/>
    <w:rPr>
      <w:rFonts w:ascii="Arial" w:eastAsia="Times New Roman" w:hAnsi="Arial" w:cs="Times New Roman"/>
      <w:spacing w:val="-5"/>
      <w:sz w:val="20"/>
      <w:szCs w:val="20"/>
    </w:rPr>
  </w:style>
  <w:style w:type="paragraph" w:styleId="Rodap">
    <w:name w:val="footer"/>
    <w:basedOn w:val="Normal"/>
    <w:link w:val="RodapCarcter"/>
    <w:uiPriority w:val="99"/>
    <w:rsid w:val="007E7DF7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sz w:val="18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E7DF7"/>
    <w:rPr>
      <w:rFonts w:ascii="Arial" w:eastAsia="Times New Roman" w:hAnsi="Arial" w:cs="Times New Roman"/>
      <w:spacing w:val="-5"/>
      <w:sz w:val="18"/>
      <w:szCs w:val="20"/>
    </w:rPr>
  </w:style>
  <w:style w:type="paragraph" w:styleId="Cabealho">
    <w:name w:val="header"/>
    <w:basedOn w:val="Normal"/>
    <w:link w:val="CabealhoCarcter"/>
    <w:rsid w:val="007E7DF7"/>
    <w:pPr>
      <w:keepLines/>
      <w:tabs>
        <w:tab w:val="center" w:pos="4320"/>
        <w:tab w:val="right" w:pos="8640"/>
      </w:tabs>
      <w:spacing w:after="600" w:line="180" w:lineRule="atLeast"/>
      <w:jc w:val="both"/>
    </w:pPr>
  </w:style>
  <w:style w:type="character" w:customStyle="1" w:styleId="CabealhoCarcter">
    <w:name w:val="Cabeçalho Carácter"/>
    <w:basedOn w:val="Tipodeletrapredefinidodopargrafo"/>
    <w:link w:val="Cabealho"/>
    <w:rsid w:val="007E7DF7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Label">
    <w:name w:val="Message Header Label"/>
    <w:rsid w:val="007E7DF7"/>
    <w:rPr>
      <w:b/>
      <w:sz w:val="18"/>
    </w:rPr>
  </w:style>
  <w:style w:type="paragraph" w:styleId="NormalWeb">
    <w:name w:val="Normal (Web)"/>
    <w:basedOn w:val="Normal"/>
    <w:uiPriority w:val="99"/>
    <w:rsid w:val="00F05119"/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link w:val="PargrafodaListaCarcter"/>
    <w:uiPriority w:val="34"/>
    <w:qFormat/>
    <w:rsid w:val="00F05119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paragraph" w:customStyle="1" w:styleId="ManualNormal">
    <w:name w:val="Manual_Normal"/>
    <w:basedOn w:val="Normal"/>
    <w:link w:val="ManualNormalCarcter"/>
    <w:qFormat/>
    <w:rsid w:val="007D4DA1"/>
    <w:pPr>
      <w:spacing w:before="120" w:after="120" w:line="360" w:lineRule="auto"/>
      <w:ind w:left="0"/>
      <w:jc w:val="both"/>
    </w:pPr>
    <w:rPr>
      <w:rFonts w:eastAsia="Calibri" w:cs="Arial"/>
      <w:spacing w:val="0"/>
    </w:rPr>
  </w:style>
  <w:style w:type="character" w:customStyle="1" w:styleId="ManualNormalCarcter">
    <w:name w:val="Manual_Normal Carácter"/>
    <w:basedOn w:val="Tipodeletrapredefinidodopargrafo"/>
    <w:link w:val="ManualNormal"/>
    <w:rsid w:val="007D4DA1"/>
    <w:rPr>
      <w:rFonts w:ascii="Arial" w:eastAsia="Calibri" w:hAnsi="Arial" w:cs="Arial"/>
      <w:sz w:val="20"/>
      <w:szCs w:val="20"/>
    </w:rPr>
  </w:style>
  <w:style w:type="character" w:styleId="Hiperligao">
    <w:name w:val="Hyperlink"/>
    <w:basedOn w:val="Tipodeletrapredefinidodopargrafo"/>
    <w:rsid w:val="001A033F"/>
    <w:rPr>
      <w:color w:val="0000FF"/>
      <w:u w:val="single"/>
    </w:rPr>
  </w:style>
  <w:style w:type="character" w:customStyle="1" w:styleId="Ttulo1Carcter">
    <w:name w:val="Título 1 Carácter"/>
    <w:basedOn w:val="Tipodeletrapredefinidodopargrafo"/>
    <w:link w:val="Ttulo1"/>
    <w:uiPriority w:val="9"/>
    <w:rsid w:val="00C411D7"/>
    <w:rPr>
      <w:rFonts w:ascii="Arial" w:eastAsiaTheme="majorEastAsia" w:hAnsi="Arial" w:cs="Arial"/>
      <w:b/>
      <w:smallCaps/>
      <w:spacing w:val="-5"/>
      <w:szCs w:val="32"/>
    </w:rPr>
  </w:style>
  <w:style w:type="character" w:customStyle="1" w:styleId="Ttulo2Carcter">
    <w:name w:val="Título 2 Carácter"/>
    <w:basedOn w:val="Tipodeletrapredefinidodopargrafo"/>
    <w:link w:val="Ttulo2"/>
    <w:uiPriority w:val="9"/>
    <w:rsid w:val="000C1320"/>
    <w:rPr>
      <w:rFonts w:ascii="Arial" w:eastAsiaTheme="majorEastAsia" w:hAnsi="Arial" w:cstheme="majorBidi"/>
      <w:spacing w:val="-5"/>
      <w:sz w:val="20"/>
      <w:szCs w:val="26"/>
      <w:lang w:eastAsia="pt-PT"/>
    </w:rPr>
  </w:style>
  <w:style w:type="character" w:customStyle="1" w:styleId="Ttulo3Carcter">
    <w:name w:val="Título 3 Carácter"/>
    <w:basedOn w:val="Tipodeletrapredefinidodopargrafo"/>
    <w:link w:val="Ttulo3"/>
    <w:uiPriority w:val="9"/>
    <w:rsid w:val="000C1320"/>
    <w:rPr>
      <w:rFonts w:asciiTheme="majorHAnsi" w:eastAsiaTheme="majorEastAsia" w:hAnsiTheme="majorHAnsi" w:cstheme="majorBidi"/>
      <w:color w:val="1F4D78" w:themeColor="accent1" w:themeShade="7F"/>
      <w:spacing w:val="-5"/>
      <w:sz w:val="24"/>
      <w:szCs w:val="24"/>
    </w:rPr>
  </w:style>
  <w:style w:type="table" w:styleId="Tabelacomgrelha">
    <w:name w:val="Table Grid"/>
    <w:basedOn w:val="Tabelanormal"/>
    <w:uiPriority w:val="59"/>
    <w:rsid w:val="00E249F9"/>
    <w:pPr>
      <w:spacing w:after="0" w:line="240" w:lineRule="auto"/>
      <w:ind w:left="835"/>
    </w:pPr>
    <w:rPr>
      <w:rFonts w:ascii="Times New Roman" w:eastAsia="SimSun" w:hAnsi="Times New Roman" w:cs="Times New Roman"/>
      <w:sz w:val="20"/>
      <w:szCs w:val="20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FA0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0802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0802"/>
    <w:rPr>
      <w:rFonts w:ascii="Segoe UI" w:eastAsia="Times New Roman" w:hAnsi="Segoe UI" w:cs="Segoe UI"/>
      <w:spacing w:val="-5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D4EA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5D4EA0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5D4EA0"/>
    <w:rPr>
      <w:rFonts w:ascii="Arial" w:eastAsia="Times New Roman" w:hAnsi="Arial" w:cs="Times New Roman"/>
      <w:spacing w:val="-5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D4EA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D4EA0"/>
    <w:rPr>
      <w:rFonts w:ascii="Arial" w:eastAsia="Times New Roman" w:hAnsi="Arial" w:cs="Times New Roman"/>
      <w:b/>
      <w:bCs/>
      <w:spacing w:val="-5"/>
      <w:sz w:val="20"/>
      <w:szCs w:val="20"/>
    </w:rPr>
  </w:style>
  <w:style w:type="numbering" w:styleId="111111">
    <w:name w:val="Outline List 2"/>
    <w:basedOn w:val="Semlista"/>
    <w:unhideWhenUsed/>
    <w:rsid w:val="00ED14A8"/>
    <w:pPr>
      <w:numPr>
        <w:numId w:val="3"/>
      </w:numPr>
    </w:pPr>
  </w:style>
  <w:style w:type="character" w:customStyle="1" w:styleId="PargrafodaListaCarcter">
    <w:name w:val="Parágrafo da Lista Carácter"/>
    <w:link w:val="PargrafodaLista"/>
    <w:uiPriority w:val="34"/>
    <w:rsid w:val="003A3A9F"/>
    <w:rPr>
      <w:rFonts w:ascii="Calibri" w:eastAsia="Calibri" w:hAnsi="Calibri" w:cs="Times New Roman"/>
    </w:rPr>
  </w:style>
  <w:style w:type="table" w:customStyle="1" w:styleId="Tabelacomgrelha1">
    <w:name w:val="Tabela com grelha1"/>
    <w:basedOn w:val="Tabelanormal"/>
    <w:next w:val="Tabelacomgrelha"/>
    <w:rsid w:val="00505BC6"/>
    <w:pPr>
      <w:spacing w:after="0" w:line="240" w:lineRule="auto"/>
    </w:pPr>
    <w:rPr>
      <w:rFonts w:eastAsia="Times New Roman"/>
      <w:lang w:eastAsia="pt-P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link w:val="TextodenotaderodapCarcter"/>
    <w:uiPriority w:val="99"/>
    <w:unhideWhenUsed/>
    <w:rsid w:val="007E598C"/>
    <w:pPr>
      <w:ind w:left="0"/>
    </w:pPr>
    <w:rPr>
      <w:rFonts w:ascii="Garamond" w:eastAsiaTheme="minorHAnsi" w:hAnsi="Garamond" w:cstheme="minorBidi"/>
      <w:spacing w:val="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7E598C"/>
    <w:rPr>
      <w:rFonts w:ascii="Garamond" w:hAnsi="Garamond"/>
      <w:sz w:val="20"/>
      <w:szCs w:val="20"/>
    </w:rPr>
  </w:style>
  <w:style w:type="character" w:styleId="Refdenotaderodap">
    <w:name w:val="footnote reference"/>
    <w:aliases w:val="Char1,Ref,de nota al pie,Footnote number,Z_Footnote Text,RFootnote text,Nota,Footnote symbol,Char,SUPERS,Voetnootmarkering,fr,o,(NECG) Footnote Reference,Footnote Reference Number,Heading 9 Char1,f"/>
    <w:basedOn w:val="Tipodeletrapredefinidodopargrafo"/>
    <w:uiPriority w:val="99"/>
    <w:semiHidden/>
    <w:unhideWhenUsed/>
    <w:rsid w:val="007E598C"/>
    <w:rPr>
      <w:vertAlign w:val="superscript"/>
    </w:rPr>
  </w:style>
  <w:style w:type="paragraph" w:customStyle="1" w:styleId="xl65">
    <w:name w:val="xl65"/>
    <w:basedOn w:val="Normal"/>
    <w:rsid w:val="006378A6"/>
    <w:pPr>
      <w:spacing w:before="100" w:beforeAutospacing="1" w:after="100" w:afterAutospacing="1"/>
      <w:ind w:left="0"/>
    </w:pPr>
    <w:rPr>
      <w:rFonts w:ascii="Times New Roman" w:hAnsi="Times New Roman"/>
      <w:b/>
      <w:bCs/>
      <w:spacing w:val="0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E07A61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table" w:customStyle="1" w:styleId="Tabelacomgrelha2">
    <w:name w:val="Tabela com grelha2"/>
    <w:basedOn w:val="Tabelanormal"/>
    <w:next w:val="Tabelacomgrelha"/>
    <w:uiPriority w:val="39"/>
    <w:rsid w:val="00557A88"/>
    <w:pPr>
      <w:spacing w:after="0" w:line="240" w:lineRule="auto"/>
    </w:pPr>
    <w:rPr>
      <w:lang w:val="en-GB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CF6429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Outline List 2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3212"/>
    <w:pPr>
      <w:spacing w:after="0" w:line="240" w:lineRule="auto"/>
      <w:ind w:left="835"/>
    </w:pPr>
    <w:rPr>
      <w:rFonts w:ascii="Arial" w:eastAsia="Times New Roman" w:hAnsi="Arial" w:cs="Times New Roman"/>
      <w:spacing w:val="-5"/>
      <w:sz w:val="20"/>
      <w:szCs w:val="20"/>
    </w:rPr>
  </w:style>
  <w:style w:type="paragraph" w:styleId="Cabealho1">
    <w:name w:val="heading 1"/>
    <w:basedOn w:val="Normal"/>
    <w:next w:val="Normal"/>
    <w:link w:val="Cabealho1Carcter"/>
    <w:autoRedefine/>
    <w:uiPriority w:val="9"/>
    <w:qFormat/>
    <w:rsid w:val="00C411D7"/>
    <w:pPr>
      <w:keepNext/>
      <w:keepLines/>
      <w:numPr>
        <w:numId w:val="1"/>
      </w:numPr>
      <w:spacing w:before="360" w:after="240" w:line="360" w:lineRule="auto"/>
      <w:ind w:left="426" w:hanging="426"/>
      <w:outlineLvl w:val="0"/>
    </w:pPr>
    <w:rPr>
      <w:rFonts w:eastAsiaTheme="majorEastAsia" w:cs="Arial"/>
      <w:b/>
      <w:smallCaps/>
      <w:sz w:val="22"/>
      <w:szCs w:val="32"/>
    </w:rPr>
  </w:style>
  <w:style w:type="paragraph" w:styleId="Cabealho2">
    <w:name w:val="heading 2"/>
    <w:basedOn w:val="Normal"/>
    <w:next w:val="Normal"/>
    <w:link w:val="Cabealho2Carcter"/>
    <w:autoRedefine/>
    <w:uiPriority w:val="9"/>
    <w:unhideWhenUsed/>
    <w:qFormat/>
    <w:rsid w:val="00E67650"/>
    <w:pPr>
      <w:keepNext/>
      <w:keepLines/>
      <w:numPr>
        <w:numId w:val="2"/>
      </w:numPr>
      <w:spacing w:before="40"/>
      <w:outlineLvl w:val="1"/>
    </w:pPr>
    <w:rPr>
      <w:rFonts w:eastAsiaTheme="majorEastAsia" w:cstheme="majorBidi"/>
      <w:szCs w:val="26"/>
      <w:lang w:eastAsia="pt-PT"/>
    </w:rPr>
  </w:style>
  <w:style w:type="paragraph" w:styleId="Cabealho3">
    <w:name w:val="heading 3"/>
    <w:basedOn w:val="Normal"/>
    <w:next w:val="Normal"/>
    <w:link w:val="Cabealho3Carcter"/>
    <w:uiPriority w:val="9"/>
    <w:unhideWhenUsed/>
    <w:qFormat/>
    <w:rsid w:val="000C132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arcter"/>
    <w:rsid w:val="007E7DF7"/>
    <w:pPr>
      <w:spacing w:after="220" w:line="180" w:lineRule="atLeast"/>
      <w:jc w:val="both"/>
    </w:pPr>
  </w:style>
  <w:style w:type="character" w:customStyle="1" w:styleId="CorpodetextoCarcter">
    <w:name w:val="Corpo de texto Carácter"/>
    <w:basedOn w:val="Tipodeletrapredefinidodopargrafo"/>
    <w:link w:val="Corpodetexto"/>
    <w:rsid w:val="007E7DF7"/>
    <w:rPr>
      <w:rFonts w:ascii="Arial" w:eastAsia="Times New Roman" w:hAnsi="Arial" w:cs="Times New Roman"/>
      <w:spacing w:val="-5"/>
      <w:sz w:val="20"/>
      <w:szCs w:val="20"/>
    </w:rPr>
  </w:style>
  <w:style w:type="paragraph" w:styleId="Rodap">
    <w:name w:val="footer"/>
    <w:basedOn w:val="Normal"/>
    <w:link w:val="RodapCarcter"/>
    <w:uiPriority w:val="99"/>
    <w:rsid w:val="007E7DF7"/>
    <w:pPr>
      <w:keepLines/>
      <w:tabs>
        <w:tab w:val="center" w:pos="4320"/>
        <w:tab w:val="right" w:pos="8640"/>
      </w:tabs>
      <w:spacing w:before="600" w:line="180" w:lineRule="atLeast"/>
      <w:jc w:val="both"/>
    </w:pPr>
    <w:rPr>
      <w:sz w:val="18"/>
    </w:rPr>
  </w:style>
  <w:style w:type="character" w:customStyle="1" w:styleId="RodapCarcter">
    <w:name w:val="Rodapé Carácter"/>
    <w:basedOn w:val="Tipodeletrapredefinidodopargrafo"/>
    <w:link w:val="Rodap"/>
    <w:uiPriority w:val="99"/>
    <w:rsid w:val="007E7DF7"/>
    <w:rPr>
      <w:rFonts w:ascii="Arial" w:eastAsia="Times New Roman" w:hAnsi="Arial" w:cs="Times New Roman"/>
      <w:spacing w:val="-5"/>
      <w:sz w:val="18"/>
      <w:szCs w:val="20"/>
    </w:rPr>
  </w:style>
  <w:style w:type="paragraph" w:styleId="Cabealho">
    <w:name w:val="header"/>
    <w:basedOn w:val="Normal"/>
    <w:link w:val="CabealhoCarcter"/>
    <w:rsid w:val="007E7DF7"/>
    <w:pPr>
      <w:keepLines/>
      <w:tabs>
        <w:tab w:val="center" w:pos="4320"/>
        <w:tab w:val="right" w:pos="8640"/>
      </w:tabs>
      <w:spacing w:after="600" w:line="180" w:lineRule="atLeast"/>
      <w:jc w:val="both"/>
    </w:pPr>
  </w:style>
  <w:style w:type="character" w:customStyle="1" w:styleId="CabealhoCarcter">
    <w:name w:val="Cabeçalho Carácter"/>
    <w:basedOn w:val="Tipodeletrapredefinidodopargrafo"/>
    <w:link w:val="Cabealho"/>
    <w:rsid w:val="007E7DF7"/>
    <w:rPr>
      <w:rFonts w:ascii="Arial" w:eastAsia="Times New Roman" w:hAnsi="Arial" w:cs="Times New Roman"/>
      <w:spacing w:val="-5"/>
      <w:sz w:val="20"/>
      <w:szCs w:val="20"/>
    </w:rPr>
  </w:style>
  <w:style w:type="character" w:customStyle="1" w:styleId="MessageHeaderLabel">
    <w:name w:val="Message Header Label"/>
    <w:rsid w:val="007E7DF7"/>
    <w:rPr>
      <w:b/>
      <w:sz w:val="18"/>
    </w:rPr>
  </w:style>
  <w:style w:type="paragraph" w:styleId="NormalWeb">
    <w:name w:val="Normal (Web)"/>
    <w:basedOn w:val="Normal"/>
    <w:uiPriority w:val="99"/>
    <w:rsid w:val="00F05119"/>
    <w:rPr>
      <w:rFonts w:ascii="Times New Roman" w:hAnsi="Times New Roman"/>
      <w:sz w:val="24"/>
      <w:szCs w:val="24"/>
    </w:rPr>
  </w:style>
  <w:style w:type="paragraph" w:styleId="PargrafodaLista">
    <w:name w:val="List Paragraph"/>
    <w:basedOn w:val="Normal"/>
    <w:link w:val="PargrafodaListaCarcter"/>
    <w:uiPriority w:val="34"/>
    <w:qFormat/>
    <w:rsid w:val="00F05119"/>
    <w:pPr>
      <w:spacing w:after="200" w:line="276" w:lineRule="auto"/>
      <w:ind w:left="720"/>
      <w:contextualSpacing/>
    </w:pPr>
    <w:rPr>
      <w:rFonts w:ascii="Calibri" w:eastAsia="Calibri" w:hAnsi="Calibri"/>
      <w:spacing w:val="0"/>
      <w:sz w:val="22"/>
      <w:szCs w:val="22"/>
    </w:rPr>
  </w:style>
  <w:style w:type="paragraph" w:customStyle="1" w:styleId="ManualNormal">
    <w:name w:val="Manual_Normal"/>
    <w:basedOn w:val="Normal"/>
    <w:link w:val="ManualNormalCarcter"/>
    <w:qFormat/>
    <w:rsid w:val="007D4DA1"/>
    <w:pPr>
      <w:spacing w:before="120" w:after="120" w:line="360" w:lineRule="auto"/>
      <w:ind w:left="0"/>
      <w:jc w:val="both"/>
    </w:pPr>
    <w:rPr>
      <w:rFonts w:eastAsia="Calibri" w:cs="Arial"/>
      <w:spacing w:val="0"/>
    </w:rPr>
  </w:style>
  <w:style w:type="character" w:customStyle="1" w:styleId="ManualNormalCarcter">
    <w:name w:val="Manual_Normal Carácter"/>
    <w:basedOn w:val="Tipodeletrapredefinidodopargrafo"/>
    <w:link w:val="ManualNormal"/>
    <w:rsid w:val="007D4DA1"/>
    <w:rPr>
      <w:rFonts w:ascii="Arial" w:eastAsia="Calibri" w:hAnsi="Arial" w:cs="Arial"/>
      <w:sz w:val="20"/>
      <w:szCs w:val="20"/>
    </w:rPr>
  </w:style>
  <w:style w:type="character" w:styleId="Hiperligao">
    <w:name w:val="Hyperlink"/>
    <w:basedOn w:val="Tipodeletrapredefinidodopargrafo"/>
    <w:rsid w:val="001A033F"/>
    <w:rPr>
      <w:color w:val="0000FF"/>
      <w:u w:val="single"/>
    </w:rPr>
  </w:style>
  <w:style w:type="character" w:customStyle="1" w:styleId="Cabealho1Carcter">
    <w:name w:val="Cabeçalho 1 Carácter"/>
    <w:basedOn w:val="Tipodeletrapredefinidodopargrafo"/>
    <w:link w:val="Cabealho1"/>
    <w:uiPriority w:val="9"/>
    <w:rsid w:val="00C411D7"/>
    <w:rPr>
      <w:rFonts w:ascii="Arial" w:eastAsiaTheme="majorEastAsia" w:hAnsi="Arial" w:cs="Arial"/>
      <w:b/>
      <w:smallCaps/>
      <w:spacing w:val="-5"/>
      <w:szCs w:val="32"/>
    </w:rPr>
  </w:style>
  <w:style w:type="character" w:customStyle="1" w:styleId="Cabealho2Carcter">
    <w:name w:val="Cabeçalho 2 Carácter"/>
    <w:basedOn w:val="Tipodeletrapredefinidodopargrafo"/>
    <w:link w:val="Cabealho2"/>
    <w:uiPriority w:val="9"/>
    <w:rsid w:val="000C1320"/>
    <w:rPr>
      <w:rFonts w:ascii="Arial" w:eastAsiaTheme="majorEastAsia" w:hAnsi="Arial" w:cstheme="majorBidi"/>
      <w:spacing w:val="-5"/>
      <w:sz w:val="20"/>
      <w:szCs w:val="26"/>
      <w:lang w:eastAsia="pt-PT"/>
    </w:rPr>
  </w:style>
  <w:style w:type="character" w:customStyle="1" w:styleId="Cabealho3Carcter">
    <w:name w:val="Cabeçalho 3 Carácter"/>
    <w:basedOn w:val="Tipodeletrapredefinidodopargrafo"/>
    <w:link w:val="Cabealho3"/>
    <w:uiPriority w:val="9"/>
    <w:rsid w:val="000C1320"/>
    <w:rPr>
      <w:rFonts w:asciiTheme="majorHAnsi" w:eastAsiaTheme="majorEastAsia" w:hAnsiTheme="majorHAnsi" w:cstheme="majorBidi"/>
      <w:color w:val="1F4D78" w:themeColor="accent1" w:themeShade="7F"/>
      <w:spacing w:val="-5"/>
      <w:sz w:val="24"/>
      <w:szCs w:val="24"/>
    </w:rPr>
  </w:style>
  <w:style w:type="table" w:styleId="Tabelacomgrelha">
    <w:name w:val="Table Grid"/>
    <w:basedOn w:val="Tabelanormal"/>
    <w:uiPriority w:val="59"/>
    <w:rsid w:val="00E249F9"/>
    <w:pPr>
      <w:spacing w:after="0" w:line="240" w:lineRule="auto"/>
      <w:ind w:left="835"/>
    </w:pPr>
    <w:rPr>
      <w:rFonts w:ascii="Times New Roman" w:eastAsia="SimSun" w:hAnsi="Times New Roman" w:cs="Times New Roman"/>
      <w:sz w:val="20"/>
      <w:szCs w:val="20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A080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FA0802"/>
    <w:rPr>
      <w:rFonts w:ascii="Segoe UI" w:hAnsi="Segoe UI" w:cs="Segoe UI"/>
      <w:sz w:val="18"/>
      <w:szCs w:val="18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FA0802"/>
    <w:rPr>
      <w:rFonts w:ascii="Segoe UI" w:eastAsia="Times New Roman" w:hAnsi="Segoe UI" w:cs="Segoe UI"/>
      <w:spacing w:val="-5"/>
      <w:sz w:val="18"/>
      <w:szCs w:val="18"/>
    </w:rPr>
  </w:style>
  <w:style w:type="character" w:styleId="Refdecomentrio">
    <w:name w:val="annotation reference"/>
    <w:basedOn w:val="Tipodeletrapredefinidodopargrafo"/>
    <w:uiPriority w:val="99"/>
    <w:semiHidden/>
    <w:unhideWhenUsed/>
    <w:rsid w:val="005D4EA0"/>
    <w:rPr>
      <w:sz w:val="16"/>
      <w:szCs w:val="16"/>
    </w:rPr>
  </w:style>
  <w:style w:type="paragraph" w:styleId="Textodecomentrio">
    <w:name w:val="annotation text"/>
    <w:basedOn w:val="Normal"/>
    <w:link w:val="TextodecomentrioCarcter"/>
    <w:uiPriority w:val="99"/>
    <w:semiHidden/>
    <w:unhideWhenUsed/>
    <w:rsid w:val="005D4EA0"/>
  </w:style>
  <w:style w:type="character" w:customStyle="1" w:styleId="TextodecomentrioCarcter">
    <w:name w:val="Texto de comentário Carácter"/>
    <w:basedOn w:val="Tipodeletrapredefinidodopargrafo"/>
    <w:link w:val="Textodecomentrio"/>
    <w:uiPriority w:val="99"/>
    <w:semiHidden/>
    <w:rsid w:val="005D4EA0"/>
    <w:rPr>
      <w:rFonts w:ascii="Arial" w:eastAsia="Times New Roman" w:hAnsi="Arial" w:cs="Times New Roman"/>
      <w:spacing w:val="-5"/>
      <w:sz w:val="20"/>
      <w:szCs w:val="20"/>
    </w:rPr>
  </w:style>
  <w:style w:type="paragraph" w:styleId="Assuntodecomentrio">
    <w:name w:val="annotation subject"/>
    <w:basedOn w:val="Textodecomentrio"/>
    <w:next w:val="Textodecomentrio"/>
    <w:link w:val="AssuntodecomentrioCarcter"/>
    <w:uiPriority w:val="99"/>
    <w:semiHidden/>
    <w:unhideWhenUsed/>
    <w:rsid w:val="005D4EA0"/>
    <w:rPr>
      <w:b/>
      <w:bCs/>
    </w:rPr>
  </w:style>
  <w:style w:type="character" w:customStyle="1" w:styleId="AssuntodecomentrioCarcter">
    <w:name w:val="Assunto de comentário Carácter"/>
    <w:basedOn w:val="TextodecomentrioCarcter"/>
    <w:link w:val="Assuntodecomentrio"/>
    <w:uiPriority w:val="99"/>
    <w:semiHidden/>
    <w:rsid w:val="005D4EA0"/>
    <w:rPr>
      <w:rFonts w:ascii="Arial" w:eastAsia="Times New Roman" w:hAnsi="Arial" w:cs="Times New Roman"/>
      <w:b/>
      <w:bCs/>
      <w:spacing w:val="-5"/>
      <w:sz w:val="20"/>
      <w:szCs w:val="20"/>
    </w:rPr>
  </w:style>
  <w:style w:type="numbering" w:styleId="111111">
    <w:name w:val="Outline List 2"/>
    <w:basedOn w:val="Semlista"/>
    <w:unhideWhenUsed/>
    <w:rsid w:val="00ED14A8"/>
    <w:pPr>
      <w:numPr>
        <w:numId w:val="3"/>
      </w:numPr>
    </w:pPr>
  </w:style>
  <w:style w:type="character" w:customStyle="1" w:styleId="PargrafodaListaCarcter">
    <w:name w:val="Parágrafo da Lista Carácter"/>
    <w:link w:val="PargrafodaLista"/>
    <w:uiPriority w:val="34"/>
    <w:rsid w:val="003A3A9F"/>
    <w:rPr>
      <w:rFonts w:ascii="Calibri" w:eastAsia="Calibri" w:hAnsi="Calibri" w:cs="Times New Roman"/>
    </w:rPr>
  </w:style>
  <w:style w:type="table" w:customStyle="1" w:styleId="Tabelacomgrelha1">
    <w:name w:val="Tabela com grelha1"/>
    <w:basedOn w:val="Tabelanormal"/>
    <w:next w:val="Tabelacomgrelha"/>
    <w:rsid w:val="00505BC6"/>
    <w:pPr>
      <w:spacing w:after="0" w:line="240" w:lineRule="auto"/>
    </w:pPr>
    <w:rPr>
      <w:rFonts w:eastAsia="Times New Roman"/>
      <w:lang w:eastAsia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arcter"/>
    <w:uiPriority w:val="99"/>
    <w:unhideWhenUsed/>
    <w:rsid w:val="007E598C"/>
    <w:pPr>
      <w:ind w:left="0"/>
    </w:pPr>
    <w:rPr>
      <w:rFonts w:ascii="Garamond" w:eastAsiaTheme="minorHAnsi" w:hAnsi="Garamond" w:cstheme="minorBidi"/>
      <w:spacing w:val="0"/>
    </w:rPr>
  </w:style>
  <w:style w:type="character" w:customStyle="1" w:styleId="TextodenotaderodapCarcter">
    <w:name w:val="Texto de nota de rodapé Carácter"/>
    <w:basedOn w:val="Tipodeletrapredefinidodopargrafo"/>
    <w:link w:val="Textodenotaderodap"/>
    <w:uiPriority w:val="99"/>
    <w:rsid w:val="007E598C"/>
    <w:rPr>
      <w:rFonts w:ascii="Garamond" w:hAnsi="Garamond"/>
      <w:sz w:val="20"/>
      <w:szCs w:val="20"/>
    </w:rPr>
  </w:style>
  <w:style w:type="character" w:styleId="Refdenotaderodap">
    <w:name w:val="footnote reference"/>
    <w:aliases w:val="Char1,Ref,de nota al pie,Footnote number,Z_Footnote Text,RFootnote text,Nota,Footnote symbol,Char,SUPERS,Voetnootmarkering,fr,o,(NECG) Footnote Reference,Footnote Reference Number,Heading 9 Char1,f"/>
    <w:basedOn w:val="Tipodeletrapredefinidodopargrafo"/>
    <w:uiPriority w:val="99"/>
    <w:semiHidden/>
    <w:unhideWhenUsed/>
    <w:rsid w:val="007E598C"/>
    <w:rPr>
      <w:vertAlign w:val="superscript"/>
    </w:rPr>
  </w:style>
  <w:style w:type="paragraph" w:customStyle="1" w:styleId="xl65">
    <w:name w:val="xl65"/>
    <w:basedOn w:val="Normal"/>
    <w:rsid w:val="006378A6"/>
    <w:pPr>
      <w:spacing w:before="100" w:beforeAutospacing="1" w:after="100" w:afterAutospacing="1"/>
      <w:ind w:left="0"/>
    </w:pPr>
    <w:rPr>
      <w:rFonts w:ascii="Times New Roman" w:hAnsi="Times New Roman"/>
      <w:b/>
      <w:bCs/>
      <w:spacing w:val="0"/>
      <w:sz w:val="24"/>
      <w:szCs w:val="24"/>
      <w:lang w:eastAsia="pt-PT"/>
    </w:rPr>
  </w:style>
  <w:style w:type="paragraph" w:styleId="Reviso">
    <w:name w:val="Revision"/>
    <w:hidden/>
    <w:uiPriority w:val="99"/>
    <w:semiHidden/>
    <w:rsid w:val="00E07A61"/>
    <w:pPr>
      <w:spacing w:after="0" w:line="240" w:lineRule="auto"/>
    </w:pPr>
    <w:rPr>
      <w:rFonts w:ascii="Arial" w:eastAsia="Times New Roman" w:hAnsi="Arial" w:cs="Times New Roman"/>
      <w:spacing w:val="-5"/>
      <w:sz w:val="20"/>
      <w:szCs w:val="20"/>
    </w:rPr>
  </w:style>
  <w:style w:type="table" w:customStyle="1" w:styleId="Tabelacomgrelha2">
    <w:name w:val="Tabela com grelha2"/>
    <w:basedOn w:val="Tabelanormal"/>
    <w:next w:val="Tabelacomgrelha"/>
    <w:uiPriority w:val="39"/>
    <w:rsid w:val="00557A8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gaovisitada">
    <w:name w:val="FollowedHyperlink"/>
    <w:basedOn w:val="Tipodeletrapredefinidodopargrafo"/>
    <w:uiPriority w:val="99"/>
    <w:semiHidden/>
    <w:unhideWhenUsed/>
    <w:rsid w:val="00CF6429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312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91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8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54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eep.pt/pt-PT/Paginas/default.aspx" TargetMode="Externa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yperlink" Target="http://www.label-pack-a-plus.eu/Portugal/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A6098-E046-4A01-BFE1-86357A496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2822</Words>
  <Characters>15241</Characters>
  <Application>Microsoft Office Word</Application>
  <DocSecurity>0</DocSecurity>
  <Lines>127</Lines>
  <Paragraphs>36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Direção Geral de Energia e Geologia</Company>
  <LinksUpToDate>false</LinksUpToDate>
  <CharactersWithSpaces>18027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Bruno Pimenta</dc:creator>
  <cp:lastModifiedBy>lurdes.manso</cp:lastModifiedBy>
  <cp:revision>2</cp:revision>
  <cp:lastPrinted>2016-09-30T11:16:00Z</cp:lastPrinted>
  <dcterms:created xsi:type="dcterms:W3CDTF">2017-03-15T10:07:00Z</dcterms:created>
  <dcterms:modified xsi:type="dcterms:W3CDTF">2017-03-15T10:07:00Z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UFAAhWon0ndq8EwBfVEOpeh2Gjxrj+cLd6h4T6ZcbsWv57UhATKgp1nz31SmwqA/4u0nf7rH0xfZVEs4
yAzcR5opafn5ZkP56Wx1BgNSmx8N8M+NDQ4lYrRNmv0rLfhDGfCmHBxOeN2hDOkDrGuM6ca5yPvv
IAWABUoI1IuJpUcVNGn+UEEbXk7977WwKVas60XBvOHoW3rxKoiqgoUXShvqwjcKukOj1Y8+6H6n
bSWQdQtmPQmGV2T99</vt:lpwstr>
  </property>
  <property fmtid="{D5CDD505-2E9C-101B-9397-08002B2CF9AE}" pid="3" name="MAIL_MSG_ID2">
    <vt:lpwstr>gPk9nl+ttT0pODna0KETZ218tKg4tS9bM05rW73+aHPe9gRv2r6qxZLHEIz
KPeb1IjFJywLqOCQPiGUilK2Qcw=</vt:lpwstr>
  </property>
  <property fmtid="{D5CDD505-2E9C-101B-9397-08002B2CF9AE}" pid="4" name="RESPONSE_SENDER_NAME">
    <vt:lpwstr>4AAA9DNYQidmug7JnOsqQSz/HZwoURJGQDU8ucS7tYmtqvltGW4jhpkUBA==</vt:lpwstr>
  </property>
  <property fmtid="{D5CDD505-2E9C-101B-9397-08002B2CF9AE}" pid="5" name="EMAIL_OWNER_ADDRESS">
    <vt:lpwstr>4AAA4Lxe55UJ0C9ezzRa+BBmMzJCj5Q5VZb5JYBnSdKq4IwOlEIxnc/f1Q==</vt:lpwstr>
  </property>
</Properties>
</file>